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D93599">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2D3FA0A" w:rsidR="00093CA9" w:rsidRDefault="000D4ED5"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27BCD9D" w:rsidR="00093CA9" w:rsidRDefault="008F0446"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D5953D3" w:rsidR="00093CA9" w:rsidRDefault="00DB7EC0" w:rsidP="00093CA9">
            <w:r w:rsidRPr="00DB7EC0">
              <w:t>Carbon Credits (Carbon Farming Initiative) Act 2011</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E749FE6" w:rsidR="00093CA9" w:rsidRDefault="00C418CC" w:rsidP="00093CA9">
            <w:hyperlink r:id="rId19" w:history="1">
              <w:r w:rsidRPr="00C418CC">
                <w:rPr>
                  <w:rStyle w:val="Hyperlink"/>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6F1941B" w:rsidR="00093CA9" w:rsidRDefault="00DB7EC0"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CCB8A1B" w:rsidR="00093CA9" w:rsidRDefault="00DB7EC0"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16AFF46" w:rsidR="00503181" w:rsidRPr="00503181" w:rsidRDefault="00503181" w:rsidP="00093CA9">
            <w:r w:rsidRPr="00503181">
              <w:t>The </w:t>
            </w:r>
            <w:r w:rsidRPr="00090A5D">
              <w:t>Carbon Credits (Carbon Farming Initiative) Act 2011</w:t>
            </w:r>
            <w:r w:rsidRPr="00503181">
              <w:t> (commonly referred to as the </w:t>
            </w:r>
            <w:r w:rsidRPr="00090A5D">
              <w:t>Carbon Farming Initiative</w:t>
            </w:r>
            <w:r w:rsidRPr="00503181">
              <w:t> or </w:t>
            </w:r>
            <w:r w:rsidRPr="00090A5D">
              <w:t>CFI Act</w:t>
            </w:r>
            <w:r w:rsidRPr="00503181">
              <w:t>) is a key piece of Australian climate legislation designed to reduce greenhouse gas emissions through land-based projects. It is central to the issuance of </w:t>
            </w:r>
            <w:r w:rsidRPr="00090A5D">
              <w:t>Australian Carbon Credit Units (ACCUs)</w:t>
            </w:r>
            <w:r>
              <w:t xml:space="preserve"> which may be issued for </w:t>
            </w:r>
            <w:r w:rsidR="00E34708">
              <w:t xml:space="preserve">projects that </w:t>
            </w:r>
            <w:r w:rsidR="005A2CEB">
              <w:t>sequester</w:t>
            </w:r>
            <w:r w:rsidR="00E34708">
              <w:t xml:space="preserve"> or avoid greenhouse gas emissions, </w:t>
            </w:r>
            <w:r w:rsidR="00712582">
              <w:t xml:space="preserve">including </w:t>
            </w:r>
            <w:r>
              <w:t>methane abatement activities</w:t>
            </w:r>
            <w:r w:rsidRPr="00503181">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B270841" w:rsidR="00093CA9" w:rsidRDefault="00C418C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9C84E61" w:rsidR="00093CA9" w:rsidRPr="00173D7C" w:rsidRDefault="00C418CC" w:rsidP="00093CA9">
            <w:pPr>
              <w:rPr>
                <w:color w:val="000000" w:themeColor="text1"/>
              </w:rPr>
            </w:pPr>
            <w:r>
              <w:rPr>
                <w:color w:val="000000" w:themeColor="text1"/>
              </w:rPr>
              <w:t>2011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22764D9" w:rsidR="00093CA9" w:rsidRPr="00173D7C" w:rsidRDefault="00C418CC" w:rsidP="00093CA9">
            <w:pPr>
              <w:rPr>
                <w:color w:val="000000" w:themeColor="text1"/>
              </w:rPr>
            </w:pPr>
            <w:r>
              <w:rPr>
                <w:color w:val="000000" w:themeColor="text1"/>
              </w:rPr>
              <w:t>2011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08B2180" w:rsidR="00093CA9" w:rsidRDefault="009F6E29" w:rsidP="00093CA9">
            <w:r>
              <w:t xml:space="preserve">Legislature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8E3AF61" w:rsidR="00093CA9" w:rsidRPr="006B7B0D" w:rsidRDefault="00C418CC" w:rsidP="00093CA9">
            <w:r w:rsidRPr="00C418CC">
              <w:t>Department of Climate Change, Energy, the Environment and Water</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1CBCC1D" w:rsidR="00093CA9" w:rsidRPr="006B7B0D" w:rsidRDefault="00C418CC"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F61BAD7" w:rsidR="00093CA9" w:rsidRPr="006B7B0D" w:rsidRDefault="00C418CC" w:rsidP="00093CA9">
            <w:r w:rsidRPr="00C418CC">
              <w:t>Clean Energy Regulator</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C332F53" w:rsidR="00093CA9" w:rsidRPr="006B7B0D" w:rsidRDefault="00C418CC"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4317F4B5" w:rsidR="00093CA9" w:rsidRPr="006B7B0D" w:rsidRDefault="00C418CC" w:rsidP="00093CA9">
            <w:r w:rsidRPr="00C418CC">
              <w:t>Emissions Reduction Assurance Committee</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3DD01AEE" w:rsidR="00093CA9" w:rsidRPr="006B7B0D" w:rsidRDefault="00C418CC"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961A0DC" w:rsidR="00093CA9" w:rsidRDefault="0050318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Pr="00503181" w:rsidRDefault="00093CA9" w:rsidP="00093CA9"/>
        </w:tc>
        <w:tc>
          <w:tcPr>
            <w:tcW w:w="9169" w:type="dxa"/>
            <w:gridSpan w:val="4"/>
            <w:shd w:val="clear" w:color="auto" w:fill="auto"/>
            <w:vAlign w:val="center"/>
          </w:tcPr>
          <w:p w14:paraId="498DF65D" w14:textId="77777777" w:rsidR="00503181" w:rsidRPr="00503181" w:rsidRDefault="00503181" w:rsidP="00503181">
            <w:pPr>
              <w:keepNext/>
              <w:rPr>
                <w:color w:val="000000" w:themeColor="text1"/>
                <w:lang w:val="en-AU"/>
              </w:rPr>
            </w:pPr>
            <w:r w:rsidRPr="00503181">
              <w:rPr>
                <w:color w:val="000000" w:themeColor="text1"/>
                <w:lang w:val="en-AU"/>
              </w:rPr>
              <w:t>The CER maintains </w:t>
            </w:r>
            <w:r w:rsidRPr="00090A5D">
              <w:rPr>
                <w:color w:val="000000" w:themeColor="text1"/>
                <w:lang w:val="en-AU"/>
              </w:rPr>
              <w:t>public dashboards and registries</w:t>
            </w:r>
            <w:r w:rsidRPr="00503181">
              <w:rPr>
                <w:color w:val="000000" w:themeColor="text1"/>
                <w:lang w:val="en-AU"/>
              </w:rPr>
              <w:t>, including:</w:t>
            </w:r>
          </w:p>
          <w:p w14:paraId="66312D51" w14:textId="77777777" w:rsidR="00503181" w:rsidRPr="00503181" w:rsidRDefault="00503181" w:rsidP="00503181">
            <w:pPr>
              <w:keepNext/>
              <w:numPr>
                <w:ilvl w:val="0"/>
                <w:numId w:val="52"/>
              </w:numPr>
              <w:rPr>
                <w:color w:val="000000" w:themeColor="text1"/>
                <w:lang w:val="en-AU"/>
              </w:rPr>
            </w:pPr>
            <w:r w:rsidRPr="00503181">
              <w:rPr>
                <w:color w:val="000000" w:themeColor="text1"/>
                <w:lang w:val="en-AU"/>
              </w:rPr>
              <w:t>The </w:t>
            </w:r>
            <w:r w:rsidRPr="00090A5D">
              <w:rPr>
                <w:color w:val="000000" w:themeColor="text1"/>
                <w:lang w:val="en-AU"/>
              </w:rPr>
              <w:t>Australian National Registry of Emissions Units (ANREU)</w:t>
            </w:r>
            <w:r w:rsidRPr="00503181">
              <w:rPr>
                <w:color w:val="000000" w:themeColor="text1"/>
                <w:lang w:val="en-AU"/>
              </w:rPr>
              <w:t>: Tracks the issuance, ownership, and transfer of ACCUs.</w:t>
            </w:r>
          </w:p>
          <w:p w14:paraId="07A46CF9" w14:textId="77777777" w:rsidR="00503181" w:rsidRPr="00503181" w:rsidRDefault="00503181" w:rsidP="00503181">
            <w:pPr>
              <w:keepNext/>
              <w:numPr>
                <w:ilvl w:val="0"/>
                <w:numId w:val="52"/>
              </w:numPr>
              <w:rPr>
                <w:color w:val="000000" w:themeColor="text1"/>
                <w:lang w:val="en-AU"/>
              </w:rPr>
            </w:pPr>
            <w:r w:rsidRPr="00090A5D">
              <w:rPr>
                <w:color w:val="000000" w:themeColor="text1"/>
                <w:lang w:val="en-AU"/>
              </w:rPr>
              <w:t>Public project database</w:t>
            </w:r>
            <w:r w:rsidRPr="00503181">
              <w:rPr>
                <w:color w:val="000000" w:themeColor="text1"/>
                <w:lang w:val="en-AU"/>
              </w:rPr>
              <w:t>: Lists all registered projects, their status, and performance metrics.</w:t>
            </w:r>
          </w:p>
          <w:p w14:paraId="49F53930" w14:textId="77777777" w:rsidR="00503181" w:rsidRDefault="00503181" w:rsidP="00503181">
            <w:pPr>
              <w:keepNext/>
              <w:numPr>
                <w:ilvl w:val="0"/>
                <w:numId w:val="52"/>
              </w:numPr>
              <w:rPr>
                <w:color w:val="000000" w:themeColor="text1"/>
                <w:lang w:val="en-AU"/>
              </w:rPr>
            </w:pPr>
            <w:r w:rsidRPr="00090A5D">
              <w:rPr>
                <w:color w:val="000000" w:themeColor="text1"/>
                <w:lang w:val="en-AU"/>
              </w:rPr>
              <w:t>Annual compliance reports</w:t>
            </w:r>
            <w:r w:rsidRPr="00503181">
              <w:rPr>
                <w:color w:val="000000" w:themeColor="text1"/>
                <w:lang w:val="en-AU"/>
              </w:rPr>
              <w:t>: Published by the CER to highlight enforcement actions, trends, and priorities</w:t>
            </w:r>
          </w:p>
          <w:p w14:paraId="2A70FC32" w14:textId="77777777" w:rsidR="00503181" w:rsidRPr="00503181" w:rsidRDefault="00503181" w:rsidP="00503181">
            <w:pPr>
              <w:keepNext/>
              <w:rPr>
                <w:color w:val="000000" w:themeColor="text1"/>
                <w:lang w:val="en-AU"/>
              </w:rPr>
            </w:pPr>
            <w:r w:rsidRPr="00503181">
              <w:rPr>
                <w:color w:val="000000" w:themeColor="text1"/>
                <w:lang w:val="en-AU"/>
              </w:rPr>
              <w:t>The CER has authority under the Act to:</w:t>
            </w:r>
          </w:p>
          <w:p w14:paraId="4B87D35E" w14:textId="77777777" w:rsidR="00503181" w:rsidRPr="00503181" w:rsidRDefault="00503181" w:rsidP="00503181">
            <w:pPr>
              <w:keepNext/>
              <w:numPr>
                <w:ilvl w:val="0"/>
                <w:numId w:val="53"/>
              </w:numPr>
              <w:rPr>
                <w:color w:val="000000" w:themeColor="text1"/>
                <w:lang w:val="en-AU"/>
              </w:rPr>
            </w:pPr>
            <w:r w:rsidRPr="00503181">
              <w:rPr>
                <w:color w:val="000000" w:themeColor="text1"/>
                <w:lang w:val="en-AU"/>
              </w:rPr>
              <w:t>Issue </w:t>
            </w:r>
            <w:r w:rsidRPr="00090A5D">
              <w:rPr>
                <w:color w:val="000000" w:themeColor="text1"/>
                <w:lang w:val="en-AU"/>
              </w:rPr>
              <w:t>infringement notices</w:t>
            </w:r>
            <w:r w:rsidRPr="00503181">
              <w:rPr>
                <w:color w:val="000000" w:themeColor="text1"/>
                <w:lang w:val="en-AU"/>
              </w:rPr>
              <w:t> or </w:t>
            </w:r>
            <w:r w:rsidRPr="00090A5D">
              <w:rPr>
                <w:color w:val="000000" w:themeColor="text1"/>
                <w:lang w:val="en-AU"/>
              </w:rPr>
              <w:t>enforceable undertakings</w:t>
            </w:r>
          </w:p>
          <w:p w14:paraId="34C4A8BF" w14:textId="77777777" w:rsidR="00503181" w:rsidRPr="00503181" w:rsidRDefault="00503181" w:rsidP="00503181">
            <w:pPr>
              <w:keepNext/>
              <w:numPr>
                <w:ilvl w:val="0"/>
                <w:numId w:val="53"/>
              </w:numPr>
              <w:rPr>
                <w:color w:val="000000" w:themeColor="text1"/>
                <w:lang w:val="en-AU"/>
              </w:rPr>
            </w:pPr>
            <w:r w:rsidRPr="00503181">
              <w:rPr>
                <w:color w:val="000000" w:themeColor="text1"/>
                <w:lang w:val="en-AU"/>
              </w:rPr>
              <w:t>Suspend or revoke project registrations</w:t>
            </w:r>
          </w:p>
          <w:p w14:paraId="2C2128DB" w14:textId="1A722C8A" w:rsidR="00093CA9" w:rsidRPr="00090A5D" w:rsidRDefault="00503181" w:rsidP="00090A5D">
            <w:pPr>
              <w:keepNext/>
              <w:numPr>
                <w:ilvl w:val="0"/>
                <w:numId w:val="53"/>
              </w:numPr>
              <w:rPr>
                <w:color w:val="000000" w:themeColor="text1"/>
                <w:lang w:val="en-AU"/>
              </w:rPr>
            </w:pPr>
            <w:r w:rsidRPr="00503181">
              <w:rPr>
                <w:color w:val="000000" w:themeColor="text1"/>
                <w:lang w:val="en-AU"/>
              </w:rPr>
              <w:t>Refer serious breaches for prosecution</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lastRenderedPageBreak/>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lastRenderedPageBreak/>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DB7EC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lastRenderedPageBreak/>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lastRenderedPageBreak/>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lastRenderedPageBreak/>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lastRenderedPageBreak/>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lastRenderedPageBreak/>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lastRenderedPageBreak/>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lastRenderedPageBreak/>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DB7EC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lastRenderedPageBreak/>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lastRenderedPageBreak/>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lastRenderedPageBreak/>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lastRenderedPageBreak/>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B7EC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lastRenderedPageBreak/>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lastRenderedPageBreak/>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lastRenderedPageBreak/>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lastRenderedPageBreak/>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 xml:space="preserve">(e.g. </w:t>
            </w:r>
            <w:r w:rsidRPr="00971C0E">
              <w:rPr>
                <w:rStyle w:val="normaltextrun"/>
                <w:rFonts w:cstheme="minorHAnsi"/>
                <w:color w:val="000000"/>
              </w:rPr>
              <w:lastRenderedPageBreak/>
              <w:t>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w:t>
            </w:r>
            <w:r w:rsidRPr="00610F28">
              <w:rPr>
                <w:rStyle w:val="normaltextrun"/>
                <w:rFonts w:ascii="Calibri" w:hAnsi="Calibri" w:cs="Calibri"/>
                <w:lang w:val="en-US"/>
              </w:rPr>
              <w:lastRenderedPageBreak/>
              <w:t>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3D1725DA" w:rsidR="00D4323A" w:rsidRPr="00CF2E7C" w:rsidRDefault="00F21A7F"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3C13F0CA" w:rsidR="00D4323A" w:rsidRPr="00CF2E7C" w:rsidRDefault="00F21A7F"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548B6E35" w:rsidR="00D4323A" w:rsidRPr="00CF2E7C" w:rsidRDefault="00D4323A" w:rsidP="00CF2E7C">
            <w:pPr>
              <w:rPr>
                <w:rFonts w:ascii="Calibri" w:hAnsi="Calibri" w:cs="Calibri"/>
              </w:rPr>
            </w:pPr>
          </w:p>
        </w:tc>
        <w:tc>
          <w:tcPr>
            <w:tcW w:w="1723" w:type="dxa"/>
            <w:vAlign w:val="center"/>
          </w:tcPr>
          <w:p w14:paraId="0BD0C46F" w14:textId="03BAD8AC" w:rsidR="00D4323A" w:rsidRPr="00CF2E7C" w:rsidRDefault="00F150DE"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549B6A98" w:rsidR="00D4323A" w:rsidRPr="00CF2E7C" w:rsidRDefault="00F21A7F"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040FDAB9" w:rsidR="00D4323A" w:rsidRPr="00CF2E7C" w:rsidRDefault="00D4323A" w:rsidP="00CF2E7C">
            <w:pPr>
              <w:rPr>
                <w:rFonts w:ascii="Calibri" w:hAnsi="Calibri" w:cs="Calibri"/>
              </w:rPr>
            </w:pPr>
          </w:p>
        </w:tc>
        <w:tc>
          <w:tcPr>
            <w:tcW w:w="1723" w:type="dxa"/>
            <w:vAlign w:val="center"/>
          </w:tcPr>
          <w:p w14:paraId="41E24062" w14:textId="2B829DF1" w:rsidR="00D4323A" w:rsidRPr="00CF2E7C" w:rsidRDefault="00F150DE"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0242E738" w:rsidR="00D4323A" w:rsidRPr="00CF2E7C" w:rsidRDefault="00F21A7F" w:rsidP="00CF2E7C">
            <w:pP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41666EA" w:rsidR="00D4323A" w:rsidRPr="00CF2E7C" w:rsidRDefault="00F150DE"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38E9981A" w:rsidR="00D4323A" w:rsidRPr="00CF2E7C" w:rsidRDefault="00D4323A" w:rsidP="00CF2E7C">
            <w:pPr>
              <w:rPr>
                <w:rFonts w:ascii="Calibri" w:hAnsi="Calibri" w:cs="Calibri"/>
              </w:rPr>
            </w:pPr>
          </w:p>
        </w:tc>
        <w:tc>
          <w:tcPr>
            <w:tcW w:w="1674" w:type="dxa"/>
            <w:vAlign w:val="center"/>
          </w:tcPr>
          <w:p w14:paraId="35A8F84B" w14:textId="747CEF27" w:rsidR="00D4323A" w:rsidRPr="00CF2E7C" w:rsidRDefault="00353560" w:rsidP="00CF2E7C">
            <w:pPr>
              <w:rPr>
                <w:rFonts w:ascii="Calibri" w:hAnsi="Calibri" w:cs="Calibri"/>
              </w:rPr>
            </w:pPr>
            <w:r>
              <w:rPr>
                <w:rFonts w:ascii="Calibri" w:hAnsi="Calibri" w:cs="Calibri"/>
              </w:rPr>
              <w:t>X</w:t>
            </w: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53262BC9" w:rsidR="00D4323A" w:rsidRPr="00CF2E7C" w:rsidRDefault="00F150DE"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02756CA0" w:rsidR="00D4323A" w:rsidRPr="00CF2E7C" w:rsidRDefault="00F150DE"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6F469B29" w:rsidR="00D4323A" w:rsidRPr="00CF2E7C" w:rsidRDefault="00D4323A" w:rsidP="00CF2E7C">
            <w:pPr>
              <w:rPr>
                <w:rFonts w:ascii="Calibri" w:hAnsi="Calibri" w:cs="Calibri"/>
              </w:rPr>
            </w:pPr>
          </w:p>
        </w:tc>
        <w:tc>
          <w:tcPr>
            <w:tcW w:w="1723" w:type="dxa"/>
            <w:vAlign w:val="center"/>
          </w:tcPr>
          <w:p w14:paraId="7DC8E64E" w14:textId="05A313C9" w:rsidR="00D4323A" w:rsidRPr="00CF2E7C" w:rsidRDefault="00F150DE"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69DCC36C" w:rsidR="00D4323A" w:rsidRPr="00CF2E7C" w:rsidRDefault="00F150DE"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1A0042FF" w:rsidR="00D4323A" w:rsidRPr="00CF2E7C" w:rsidRDefault="00DC3327" w:rsidP="00CF2E7C">
            <w:pPr>
              <w:rPr>
                <w:rFonts w:ascii="Calibri" w:hAnsi="Calibri" w:cs="Calibri"/>
              </w:rPr>
            </w:pPr>
            <w:r>
              <w:rPr>
                <w:rFonts w:ascii="Calibri" w:hAnsi="Calibri" w:cs="Calibri"/>
              </w:rPr>
              <w:t>X</w:t>
            </w:r>
          </w:p>
        </w:tc>
        <w:tc>
          <w:tcPr>
            <w:tcW w:w="1674" w:type="dxa"/>
            <w:vAlign w:val="center"/>
          </w:tcPr>
          <w:p w14:paraId="16E1C93C" w14:textId="085CBA8A"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17C7C116" w:rsidR="00092534" w:rsidRPr="00CF2E7C" w:rsidRDefault="00DC3327" w:rsidP="00CF2E7C">
            <w:pPr>
              <w:rPr>
                <w:rFonts w:ascii="Calibri" w:hAnsi="Calibri" w:cs="Calibri"/>
              </w:rPr>
            </w:pPr>
            <w:r>
              <w:rPr>
                <w:rFonts w:ascii="Calibri" w:hAnsi="Calibri" w:cs="Calibri"/>
              </w:rPr>
              <w:t xml:space="preserve">The Safeguard Mechanism will require </w:t>
            </w:r>
            <w:r w:rsidR="00F36B32">
              <w:rPr>
                <w:rFonts w:ascii="Calibri" w:hAnsi="Calibri" w:cs="Calibri"/>
              </w:rPr>
              <w:t xml:space="preserve">entities that produce greenhouse gas emissions beyond the limits to manage their excess emissions, which may include purchasing </w:t>
            </w:r>
            <w:r>
              <w:rPr>
                <w:rFonts w:ascii="Calibri" w:hAnsi="Calibri" w:cs="Calibri"/>
              </w:rPr>
              <w:t xml:space="preserve">Australian Carbon Credit Units, so there is a mandated element. </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02BB5754"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6811E67D"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11C4335D"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2EF33B1F"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442FE0EA"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lastRenderedPageBreak/>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0B7F7921" w:rsidR="00092534" w:rsidRPr="00CF2E7C" w:rsidRDefault="00F150DE" w:rsidP="00CF2E7C">
            <w:pPr>
              <w:rPr>
                <w:rFonts w:ascii="Calibri" w:hAnsi="Calibri" w:cs="Calibri"/>
              </w:rPr>
            </w:pPr>
            <w:r>
              <w:rPr>
                <w:rFonts w:ascii="Calibri" w:hAnsi="Calibri" w:cs="Calibri"/>
              </w:rPr>
              <w:t xml:space="preserve">While the policy tool does not directly target financial institutions, it does impact them as Australian carbon credit units are treated as financial products. As such, entities providing </w:t>
            </w:r>
            <w:r>
              <w:rPr>
                <w:rFonts w:ascii="Calibri" w:hAnsi="Calibri" w:cs="Calibri"/>
              </w:rPr>
              <w:lastRenderedPageBreak/>
              <w:t>financial services related to Australian carbon credit units (including trading or advice) may require an Australian Financial Services licence.</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B7EC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lastRenderedPageBreak/>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4578998D" w:rsidR="00DB1E72" w:rsidRPr="00CF2E7C" w:rsidRDefault="00F21A7F"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4927BB67" w14:textId="77777777" w:rsidR="00F21A7F" w:rsidRPr="00F21A7F" w:rsidRDefault="00F21A7F" w:rsidP="00F21A7F">
            <w:pPr>
              <w:rPr>
                <w:rFonts w:ascii="Calibri" w:hAnsi="Calibri" w:cs="Calibri"/>
                <w:lang w:val="en-AU"/>
              </w:rPr>
            </w:pPr>
            <w:r w:rsidRPr="00F21A7F">
              <w:rPr>
                <w:rFonts w:ascii="Calibri" w:hAnsi="Calibri" w:cs="Calibri"/>
                <w:lang w:val="en-AU"/>
              </w:rPr>
              <w:t>Australian carbon credit units may be required to be relinquished if:</w:t>
            </w:r>
          </w:p>
          <w:p w14:paraId="144D4513" w14:textId="77777777" w:rsidR="00F21A7F" w:rsidRPr="00F21A7F" w:rsidRDefault="00F21A7F" w:rsidP="00F21A7F">
            <w:pPr>
              <w:rPr>
                <w:rFonts w:ascii="Calibri" w:hAnsi="Calibri" w:cs="Calibri"/>
                <w:lang w:val="en-AU"/>
              </w:rPr>
            </w:pPr>
            <w:r w:rsidRPr="00F21A7F">
              <w:rPr>
                <w:rFonts w:ascii="Calibri" w:hAnsi="Calibri" w:cs="Calibri"/>
                <w:lang w:val="en-AU"/>
              </w:rPr>
              <w:t> (a) the issue of the units is attributable to the giving of false or misleading information; or</w:t>
            </w:r>
          </w:p>
          <w:p w14:paraId="735F9788" w14:textId="77777777" w:rsidR="00F21A7F" w:rsidRPr="00F21A7F" w:rsidRDefault="00F21A7F" w:rsidP="00F21A7F">
            <w:pPr>
              <w:rPr>
                <w:rFonts w:ascii="Calibri" w:hAnsi="Calibri" w:cs="Calibri"/>
                <w:lang w:val="en-AU"/>
              </w:rPr>
            </w:pPr>
            <w:r w:rsidRPr="00F21A7F">
              <w:rPr>
                <w:rFonts w:ascii="Calibri" w:hAnsi="Calibri" w:cs="Calibri"/>
                <w:lang w:val="en-AU"/>
              </w:rPr>
              <w:t> (b) the units were issued in relation to a sequestration offsets project, and the declaration of the sequestration offsets project as an eligible offsets project has been revoked; or</w:t>
            </w:r>
          </w:p>
          <w:p w14:paraId="35452E00" w14:textId="77777777" w:rsidR="00F21A7F" w:rsidRPr="00F21A7F" w:rsidRDefault="00F21A7F" w:rsidP="00F21A7F">
            <w:pPr>
              <w:rPr>
                <w:rFonts w:ascii="Calibri" w:hAnsi="Calibri" w:cs="Calibri"/>
                <w:lang w:val="en-AU"/>
              </w:rPr>
            </w:pPr>
            <w:r w:rsidRPr="00F21A7F">
              <w:rPr>
                <w:rFonts w:ascii="Calibri" w:hAnsi="Calibri" w:cs="Calibri"/>
                <w:lang w:val="en-AU"/>
              </w:rPr>
              <w:t> (c) the units were issued in relation to a sequestration offsets project, and there has been a complete or partial reversal of sequestration.</w:t>
            </w:r>
          </w:p>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6B2AB376" w:rsidR="00092534" w:rsidRPr="00CF2E7C" w:rsidRDefault="00F21A7F"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270CC9E" w14:textId="77777777" w:rsidR="00092534" w:rsidRDefault="00F21A7F" w:rsidP="00CF2E7C">
            <w:pPr>
              <w:rPr>
                <w:rFonts w:ascii="Calibri" w:hAnsi="Calibri" w:cs="Calibri"/>
              </w:rPr>
            </w:pPr>
            <w:r>
              <w:rPr>
                <w:rFonts w:ascii="Calibri" w:hAnsi="Calibri" w:cs="Calibri"/>
              </w:rPr>
              <w:t xml:space="preserve">Australian Carbon Credit Units are available for purchase and trade. The Clean Energy Regulator manages the </w:t>
            </w:r>
            <w:r w:rsidRPr="00F21A7F">
              <w:rPr>
                <w:rFonts w:ascii="Calibri" w:hAnsi="Calibri" w:cs="Calibri"/>
              </w:rPr>
              <w:t>Australian National Registry of Emissions Units</w:t>
            </w:r>
            <w:r>
              <w:rPr>
                <w:rFonts w:ascii="Calibri" w:hAnsi="Calibri" w:cs="Calibri"/>
              </w:rPr>
              <w:t xml:space="preserve">. </w:t>
            </w:r>
          </w:p>
          <w:p w14:paraId="2752621C" w14:textId="734F538D" w:rsidR="002E0831" w:rsidRDefault="002E0831" w:rsidP="00CF2E7C">
            <w:pPr>
              <w:rPr>
                <w:rFonts w:ascii="Calibri" w:hAnsi="Calibri" w:cs="Calibri"/>
              </w:rPr>
            </w:pPr>
            <w:hyperlink r:id="rId20" w:anchor="australian-market-licences" w:history="1">
              <w:r w:rsidRPr="002E0831">
                <w:rPr>
                  <w:rStyle w:val="Hyperlink"/>
                  <w:rFonts w:ascii="Calibri" w:hAnsi="Calibri" w:cs="Calibri"/>
                </w:rPr>
                <w:t>Web-archived link 1</w:t>
              </w:r>
            </w:hyperlink>
          </w:p>
          <w:p w14:paraId="4E9BC062" w14:textId="35DA0223" w:rsidR="002E0831" w:rsidRPr="00CF2E7C" w:rsidRDefault="002E0831" w:rsidP="00CF2E7C">
            <w:pPr>
              <w:rPr>
                <w:rFonts w:ascii="Calibri" w:hAnsi="Calibri" w:cs="Calibri"/>
              </w:rPr>
            </w:pPr>
            <w:hyperlink r:id="rId21" w:history="1">
              <w:r w:rsidRPr="002E0831">
                <w:rPr>
                  <w:rStyle w:val="Hyperlink"/>
                  <w:rFonts w:ascii="Calibri" w:hAnsi="Calibri" w:cs="Calibri"/>
                </w:rPr>
                <w:t>Web-archived link 2</w:t>
              </w:r>
            </w:hyperlink>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lastRenderedPageBreak/>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lastRenderedPageBreak/>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1AB1BC1E" w:rsidR="00092534" w:rsidRPr="00CF2E7C" w:rsidRDefault="00472500" w:rsidP="00CF2E7C">
            <w:pPr>
              <w:rPr>
                <w:rFonts w:ascii="Calibri" w:hAnsi="Calibri" w:cs="Calibri"/>
              </w:rPr>
            </w:pPr>
            <w:r>
              <w:rPr>
                <w:rFonts w:ascii="Calibri" w:hAnsi="Calibri" w:cs="Calibri"/>
              </w:rPr>
              <w:t>X</w:t>
            </w: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CBAA415" w14:textId="77777777" w:rsidR="00F150DE" w:rsidRDefault="00F150DE" w:rsidP="00F150DE">
            <w:pPr>
              <w:rPr>
                <w:rFonts w:ascii="Calibri" w:hAnsi="Calibri" w:cs="Calibri"/>
              </w:rPr>
            </w:pPr>
            <w:r>
              <w:rPr>
                <w:rFonts w:ascii="Calibri" w:hAnsi="Calibri" w:cs="Calibri"/>
              </w:rPr>
              <w:t xml:space="preserve">Example 1 - Litigation by climate action group Parents for Climate against EnergyAustralia for misleading and deceptive conduct or 'greenwashing', on the basis that EnergyAustralia had claimed that </w:t>
            </w:r>
            <w:r w:rsidRPr="00472500">
              <w:rPr>
                <w:rFonts w:ascii="Calibri" w:hAnsi="Calibri" w:cs="Calibri"/>
              </w:rPr>
              <w:t>emissions associated with the</w:t>
            </w:r>
            <w:r>
              <w:rPr>
                <w:rFonts w:ascii="Calibri" w:hAnsi="Calibri" w:cs="Calibri"/>
              </w:rPr>
              <w:t>ir</w:t>
            </w:r>
            <w:r w:rsidRPr="00472500">
              <w:rPr>
                <w:rFonts w:ascii="Calibri" w:hAnsi="Calibri" w:cs="Calibri"/>
              </w:rPr>
              <w:t xml:space="preserve"> products had been “cancelled out” or “negated”</w:t>
            </w:r>
            <w:r>
              <w:rPr>
                <w:rFonts w:ascii="Calibri" w:hAnsi="Calibri" w:cs="Calibri"/>
              </w:rPr>
              <w:t xml:space="preserve"> by their purchase of carbon credits under the policy tool. The case was settled out of court.</w:t>
            </w:r>
          </w:p>
          <w:p w14:paraId="1F35AB39" w14:textId="77777777" w:rsidR="00F150DE" w:rsidRDefault="00F150DE" w:rsidP="00F150DE">
            <w:pPr>
              <w:rPr>
                <w:rFonts w:ascii="Calibri" w:hAnsi="Calibri" w:cs="Calibri"/>
              </w:rPr>
            </w:pPr>
            <w:hyperlink r:id="rId22" w:history="1">
              <w:r w:rsidRPr="00472500">
                <w:rPr>
                  <w:rStyle w:val="Hyperlink"/>
                  <w:rFonts w:ascii="Calibri" w:hAnsi="Calibri" w:cs="Calibri"/>
                </w:rPr>
                <w:t>Web-archived link 1</w:t>
              </w:r>
            </w:hyperlink>
          </w:p>
          <w:p w14:paraId="68F66B44" w14:textId="77777777" w:rsidR="00F150DE" w:rsidRDefault="00F150DE" w:rsidP="00F150DE">
            <w:hyperlink r:id="rId23" w:history="1">
              <w:r w:rsidRPr="00472500">
                <w:rPr>
                  <w:rStyle w:val="Hyperlink"/>
                  <w:rFonts w:ascii="Calibri" w:hAnsi="Calibri" w:cs="Calibri"/>
                </w:rPr>
                <w:t>Web-archived link 2</w:t>
              </w:r>
            </w:hyperlink>
          </w:p>
          <w:p w14:paraId="507E0D6F" w14:textId="77777777" w:rsidR="00F150DE" w:rsidRDefault="00F150DE" w:rsidP="00F150DE">
            <w:r>
              <w:t>Example 2 – A decision by the</w:t>
            </w:r>
            <w:r w:rsidRPr="000E5C6A">
              <w:t xml:space="preserve"> Administrative Appeals </w:t>
            </w:r>
            <w:r>
              <w:t>Tribunal to</w:t>
            </w:r>
            <w:r w:rsidRPr="000E5C6A">
              <w:t xml:space="preserve"> set aside a decision by the Domestic Offsets Integrity Committee </w:t>
            </w:r>
            <w:r>
              <w:t xml:space="preserve">to </w:t>
            </w:r>
            <w:r w:rsidRPr="00B815B5">
              <w:t>refuse to endorse a proposal by Charles IFE Pty Ltd (CIPL) to vary a methodology determination under </w:t>
            </w:r>
            <w:r>
              <w:t xml:space="preserve">the policy tool. </w:t>
            </w:r>
          </w:p>
          <w:p w14:paraId="58E21A0D" w14:textId="5F32B071" w:rsidR="00472500" w:rsidRPr="00CF2E7C" w:rsidRDefault="00F150DE" w:rsidP="00CF2E7C">
            <w:pPr>
              <w:rPr>
                <w:rFonts w:ascii="Calibri" w:hAnsi="Calibri" w:cs="Calibri"/>
              </w:rPr>
            </w:pPr>
            <w:hyperlink r:id="rId24" w:history="1">
              <w:r w:rsidRPr="004F10F7">
                <w:rPr>
                  <w:rStyle w:val="Hyperlink"/>
                  <w:rFonts w:ascii="Calibri" w:hAnsi="Calibri" w:cs="Calibri"/>
                </w:rPr>
                <w:t>Web-archived link 3</w:t>
              </w:r>
            </w:hyperlink>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51017F60" w:rsidR="00D46B07" w:rsidRPr="00CF2E7C" w:rsidRDefault="004725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45D9B1D6" w:rsidR="00D46B07" w:rsidRPr="00CF2E7C" w:rsidRDefault="002616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B300D42" w:rsidR="00D46B07" w:rsidRPr="00CF2E7C" w:rsidRDefault="002616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707C24CE" w:rsidR="00D46B07" w:rsidRPr="00CF2E7C" w:rsidRDefault="002616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52BCB5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952D1">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2C7E580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952D1">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9E6912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26160F">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36A7B94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362639FE" w:rsidR="00D46B07" w:rsidRPr="00CF2E7C" w:rsidRDefault="002616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657E6AC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952D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5D7887" w14:textId="77777777" w:rsidR="00097513" w:rsidRDefault="00097513" w:rsidP="0009751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Under section 11(5) of the </w:t>
            </w:r>
            <w:r w:rsidRPr="005952D1">
              <w:rPr>
                <w:rFonts w:ascii="Calibri" w:eastAsia="Times New Roman" w:hAnsi="Calibri" w:cs="Calibri"/>
                <w:i/>
                <w:iCs/>
                <w:kern w:val="0"/>
                <w:lang w:eastAsia="en-GB"/>
                <w14:ligatures w14:val="none"/>
              </w:rPr>
              <w:t>Carbon Credits Act 201</w:t>
            </w:r>
            <w:r w:rsidRPr="0059562C">
              <w:rPr>
                <w:rFonts w:ascii="Calibri" w:eastAsia="Times New Roman" w:hAnsi="Calibri" w:cs="Calibri"/>
                <w:kern w:val="0"/>
                <w:u w:val="single"/>
                <w:lang w:eastAsia="en-GB"/>
                <w14:ligatures w14:val="none"/>
              </w:rPr>
              <w:t xml:space="preserve">1 </w:t>
            </w:r>
            <w:r>
              <w:rPr>
                <w:rFonts w:ascii="Calibri" w:eastAsia="Times New Roman" w:hAnsi="Calibri" w:cs="Calibri"/>
                <w:kern w:val="0"/>
                <w:lang w:eastAsia="en-GB"/>
                <w14:ligatures w14:val="none"/>
              </w:rPr>
              <w:t>(Cth), t</w:t>
            </w:r>
            <w:r w:rsidRPr="005952D1">
              <w:rPr>
                <w:rFonts w:ascii="Calibri" w:eastAsia="Times New Roman" w:hAnsi="Calibri" w:cs="Calibri"/>
                <w:kern w:val="0"/>
                <w:lang w:eastAsia="en-GB"/>
                <w14:ligatures w14:val="none"/>
              </w:rPr>
              <w:t>he Regulator must not issue an Australian carbon credit unit to a person unless the person has a Registry account</w:t>
            </w:r>
            <w:r>
              <w:rPr>
                <w:rFonts w:ascii="Calibri" w:eastAsia="Times New Roman" w:hAnsi="Calibri" w:cs="Calibri"/>
                <w:kern w:val="0"/>
                <w:lang w:eastAsia="en-GB"/>
                <w14:ligatures w14:val="none"/>
              </w:rPr>
              <w:t xml:space="preserve"> on the </w:t>
            </w:r>
            <w:r w:rsidRPr="005952D1">
              <w:rPr>
                <w:rFonts w:ascii="Calibri" w:eastAsia="Times New Roman" w:hAnsi="Calibri" w:cs="Calibri"/>
                <w:kern w:val="0"/>
                <w:lang w:eastAsia="en-GB"/>
                <w14:ligatures w14:val="none"/>
              </w:rPr>
              <w:t>Australian National Registry of Emissions Units</w:t>
            </w:r>
            <w:r>
              <w:rPr>
                <w:rFonts w:ascii="Calibri" w:eastAsia="Times New Roman" w:hAnsi="Calibri" w:cs="Calibri"/>
                <w:kern w:val="0"/>
                <w:lang w:eastAsia="en-GB"/>
                <w14:ligatures w14:val="none"/>
              </w:rPr>
              <w:t xml:space="preserve">, maintained </w:t>
            </w:r>
            <w:r w:rsidRPr="005952D1">
              <w:rPr>
                <w:rFonts w:ascii="Calibri" w:eastAsia="Times New Roman" w:hAnsi="Calibri" w:cs="Calibri"/>
                <w:kern w:val="0"/>
                <w:lang w:eastAsia="en-GB"/>
                <w14:ligatures w14:val="none"/>
              </w:rPr>
              <w:t>under the </w:t>
            </w:r>
            <w:r w:rsidRPr="005952D1">
              <w:rPr>
                <w:rFonts w:ascii="Calibri" w:eastAsia="Times New Roman" w:hAnsi="Calibri" w:cs="Calibri"/>
                <w:i/>
                <w:iCs/>
                <w:kern w:val="0"/>
                <w:lang w:eastAsia="en-GB"/>
                <w14:ligatures w14:val="none"/>
              </w:rPr>
              <w:t>Australian National Registry of Emissions Units Act 2011</w:t>
            </w:r>
            <w:r>
              <w:rPr>
                <w:rFonts w:ascii="Calibri" w:eastAsia="Times New Roman" w:hAnsi="Calibri" w:cs="Calibri"/>
                <w:i/>
                <w:iCs/>
                <w:kern w:val="0"/>
                <w:lang w:eastAsia="en-GB"/>
                <w14:ligatures w14:val="none"/>
              </w:rPr>
              <w:t xml:space="preserve"> </w:t>
            </w:r>
            <w:r>
              <w:rPr>
                <w:rFonts w:ascii="Calibri" w:eastAsia="Times New Roman" w:hAnsi="Calibri" w:cs="Calibri"/>
                <w:kern w:val="0"/>
                <w:lang w:eastAsia="en-GB"/>
                <w14:ligatures w14:val="none"/>
              </w:rPr>
              <w:t>(Cth)</w:t>
            </w:r>
            <w:r w:rsidRPr="005952D1">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p>
          <w:p w14:paraId="76E5A5FC" w14:textId="77777777" w:rsidR="00097513" w:rsidRPr="004321E0" w:rsidRDefault="00097513" w:rsidP="00097513">
            <w:pPr>
              <w:textAlignment w:val="baseline"/>
              <w:rPr>
                <w:rStyle w:val="Hyperlink"/>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fldChar w:fldCharType="begin"/>
            </w:r>
            <w:r>
              <w:rPr>
                <w:rFonts w:ascii="Calibri" w:eastAsia="Times New Roman" w:hAnsi="Calibri" w:cs="Calibri"/>
                <w:kern w:val="0"/>
                <w:lang w:eastAsia="en-GB"/>
                <w14:ligatures w14:val="none"/>
              </w:rPr>
              <w:instrText>HYPERLINK "https://web.archive.org/web/20250630013734/https:/cer.gov.au/online-systems/new-unit-and-certificate-registry"</w:instrText>
            </w:r>
            <w:r>
              <w:rPr>
                <w:rFonts w:ascii="Calibri" w:eastAsia="Times New Roman" w:hAnsi="Calibri" w:cs="Calibri"/>
                <w:kern w:val="0"/>
                <w:lang w:eastAsia="en-GB"/>
                <w14:ligatures w14:val="none"/>
              </w:rPr>
            </w:r>
            <w:r>
              <w:rPr>
                <w:rFonts w:ascii="Calibri" w:eastAsia="Times New Roman" w:hAnsi="Calibri" w:cs="Calibri"/>
                <w:kern w:val="0"/>
                <w:lang w:eastAsia="en-GB"/>
                <w14:ligatures w14:val="none"/>
              </w:rPr>
              <w:fldChar w:fldCharType="separate"/>
            </w:r>
            <w:r w:rsidRPr="004321E0">
              <w:rPr>
                <w:rStyle w:val="Hyperlink"/>
                <w:rFonts w:ascii="Calibri" w:eastAsia="Times New Roman" w:hAnsi="Calibri" w:cs="Calibri"/>
                <w:kern w:val="0"/>
                <w:lang w:eastAsia="en-GB"/>
                <w14:ligatures w14:val="none"/>
              </w:rPr>
              <w:t>Web-archived link 1</w:t>
            </w:r>
          </w:p>
          <w:p w14:paraId="38C2165D" w14:textId="170B5F19" w:rsidR="005952D1" w:rsidRPr="00CF2E7C" w:rsidRDefault="000975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fldChar w:fldCharType="end"/>
            </w:r>
            <w:hyperlink r:id="rId25" w:history="1">
              <w:r w:rsidRPr="004321E0">
                <w:rPr>
                  <w:rStyle w:val="Hyperlink"/>
                  <w:rFonts w:ascii="Calibri" w:eastAsia="Times New Roman" w:hAnsi="Calibri" w:cs="Calibri"/>
                  <w:kern w:val="0"/>
                  <w:lang w:eastAsia="en-GB"/>
                  <w14:ligatures w14:val="none"/>
                </w:rPr>
                <w:t>Web-archived link 2</w:t>
              </w:r>
            </w:hyperlink>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42C02FEF" w:rsidR="00343937" w:rsidRPr="00CF2E7C" w:rsidRDefault="004321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61FBCE4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321E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6F9A790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39B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142119C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5710323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39B5">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2363A2E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39B5">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406E3F5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39B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C53138" w14:textId="2BDE5E9D" w:rsidR="00343937" w:rsidRDefault="00D339B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Applications must pass the 'no double counting test' before a new carbon credit is issued; section 15A.</w:t>
            </w:r>
          </w:p>
          <w:p w14:paraId="4878BF58" w14:textId="5FAFC4DF" w:rsidR="00D339B5" w:rsidRPr="00CF2E7C" w:rsidRDefault="00D339B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Relinquished carbon credits must be cancelled and then removed from the account that held the carbon credit immediately prior to its cancellation; section 175. </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52081F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39B5">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B27C51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39B5">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3FC0D8B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39B5">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644620AB" w:rsidR="000A6F11" w:rsidRPr="00CF2E7C" w:rsidRDefault="00D339B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160318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39B5">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174C2A9C" w:rsidR="00047A9C" w:rsidRPr="00CF2E7C" w:rsidRDefault="004454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600B58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484">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2E4DDD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484">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C3611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484">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414350A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484">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4E79023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484">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135798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484">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1F1CBB" w14:textId="1836046D" w:rsidR="009B07EA" w:rsidRDefault="00047A9C" w:rsidP="009B07E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45484">
              <w:rPr>
                <w:rFonts w:ascii="Calibri" w:eastAsia="Times New Roman" w:hAnsi="Calibri" w:cs="Calibri"/>
                <w:kern w:val="0"/>
                <w:lang w:eastAsia="en-GB"/>
                <w14:ligatures w14:val="none"/>
              </w:rPr>
              <w:t xml:space="preserve">An offsets project must meet the additionality requirements in section </w:t>
            </w:r>
            <w:r w:rsidR="00097513">
              <w:rPr>
                <w:rFonts w:ascii="Calibri" w:eastAsia="Times New Roman" w:hAnsi="Calibri" w:cs="Calibri"/>
                <w:kern w:val="0"/>
                <w:lang w:eastAsia="en-GB"/>
                <w14:ligatures w14:val="none"/>
              </w:rPr>
              <w:t>27(</w:t>
            </w:r>
            <w:r w:rsidR="00445484">
              <w:rPr>
                <w:rFonts w:ascii="Calibri" w:eastAsia="Times New Roman" w:hAnsi="Calibri" w:cs="Calibri"/>
                <w:kern w:val="0"/>
                <w:lang w:eastAsia="en-GB"/>
                <w14:ligatures w14:val="none"/>
              </w:rPr>
              <w:t>4A</w:t>
            </w:r>
            <w:r w:rsidR="00097513">
              <w:rPr>
                <w:rFonts w:ascii="Calibri" w:eastAsia="Times New Roman" w:hAnsi="Calibri" w:cs="Calibri"/>
                <w:kern w:val="0"/>
                <w:lang w:eastAsia="en-GB"/>
                <w14:ligatures w14:val="none"/>
              </w:rPr>
              <w:t>)</w:t>
            </w:r>
            <w:r w:rsidR="00445484">
              <w:rPr>
                <w:rFonts w:ascii="Calibri" w:eastAsia="Times New Roman" w:hAnsi="Calibri" w:cs="Calibri"/>
                <w:kern w:val="0"/>
                <w:lang w:eastAsia="en-GB"/>
                <w14:ligatures w14:val="none"/>
              </w:rPr>
              <w:t>:</w:t>
            </w:r>
          </w:p>
          <w:p w14:paraId="3945C11F" w14:textId="77777777" w:rsidR="009B07EA" w:rsidRPr="009B07EA" w:rsidRDefault="00445484" w:rsidP="009B07EA">
            <w:pPr>
              <w:pStyle w:val="ListParagraph"/>
              <w:numPr>
                <w:ilvl w:val="0"/>
                <w:numId w:val="51"/>
              </w:numPr>
              <w:textAlignment w:val="baseline"/>
              <w:rPr>
                <w:rFonts w:ascii="Calibri" w:eastAsia="Times New Roman" w:hAnsi="Calibri" w:cs="Calibri"/>
                <w:kern w:val="0"/>
                <w:lang w:eastAsia="en-GB"/>
                <w14:ligatures w14:val="none"/>
              </w:rPr>
            </w:pPr>
            <w:r w:rsidRPr="009B07EA">
              <w:rPr>
                <w:rFonts w:ascii="Calibri" w:eastAsia="Times New Roman" w:hAnsi="Calibri" w:cs="Calibri"/>
                <w:kern w:val="0"/>
                <w:lang w:val="en-AU" w:eastAsia="en-GB"/>
                <w14:ligatures w14:val="none"/>
              </w:rPr>
              <w:t>the requirement (the </w:t>
            </w:r>
            <w:r w:rsidRPr="009B07EA">
              <w:rPr>
                <w:rFonts w:ascii="Calibri" w:eastAsia="Times New Roman" w:hAnsi="Calibri" w:cs="Calibri"/>
                <w:b/>
                <w:bCs/>
                <w:i/>
                <w:iCs/>
                <w:kern w:val="0"/>
                <w:lang w:val="en-AU" w:eastAsia="en-GB"/>
                <w14:ligatures w14:val="none"/>
              </w:rPr>
              <w:t>newness requirement</w:t>
            </w:r>
            <w:r w:rsidRPr="009B07EA">
              <w:rPr>
                <w:rFonts w:ascii="Calibri" w:eastAsia="Times New Roman" w:hAnsi="Calibri" w:cs="Calibri"/>
                <w:kern w:val="0"/>
                <w:lang w:val="en-AU" w:eastAsia="en-GB"/>
                <w14:ligatures w14:val="none"/>
              </w:rPr>
              <w:t>) that the project has not begun to be implemented; and</w:t>
            </w:r>
          </w:p>
          <w:p w14:paraId="1CAE16B9" w14:textId="77777777" w:rsidR="009B07EA" w:rsidRPr="009B07EA" w:rsidRDefault="00445484" w:rsidP="009B07EA">
            <w:pPr>
              <w:pStyle w:val="ListParagraph"/>
              <w:numPr>
                <w:ilvl w:val="0"/>
                <w:numId w:val="51"/>
              </w:numPr>
              <w:textAlignment w:val="baseline"/>
              <w:rPr>
                <w:rFonts w:ascii="Calibri" w:eastAsia="Times New Roman" w:hAnsi="Calibri" w:cs="Calibri"/>
                <w:kern w:val="0"/>
                <w:lang w:eastAsia="en-GB"/>
                <w14:ligatures w14:val="none"/>
              </w:rPr>
            </w:pPr>
            <w:r w:rsidRPr="009B07EA">
              <w:rPr>
                <w:rFonts w:ascii="Calibri" w:eastAsia="Times New Roman" w:hAnsi="Calibri" w:cs="Calibri"/>
                <w:kern w:val="0"/>
                <w:lang w:val="en-AU" w:eastAsia="en-GB"/>
                <w14:ligatures w14:val="none"/>
              </w:rPr>
              <w:t>the requirement (the </w:t>
            </w:r>
            <w:r w:rsidRPr="009B07EA">
              <w:rPr>
                <w:rFonts w:ascii="Calibri" w:eastAsia="Times New Roman" w:hAnsi="Calibri" w:cs="Calibri"/>
                <w:b/>
                <w:bCs/>
                <w:i/>
                <w:iCs/>
                <w:kern w:val="0"/>
                <w:lang w:val="en-AU" w:eastAsia="en-GB"/>
                <w14:ligatures w14:val="none"/>
              </w:rPr>
              <w:t>regulatory additionality requirement</w:t>
            </w:r>
            <w:r w:rsidRPr="009B07EA">
              <w:rPr>
                <w:rFonts w:ascii="Calibri" w:eastAsia="Times New Roman" w:hAnsi="Calibri" w:cs="Calibri"/>
                <w:kern w:val="0"/>
                <w:lang w:val="en-AU" w:eastAsia="en-GB"/>
                <w14:ligatures w14:val="none"/>
              </w:rPr>
              <w:t xml:space="preserve">) that the project is not required to be carried out by or under a law of the Commonwealth, a State or a Territory; </w:t>
            </w:r>
            <w:r w:rsidR="009B07EA">
              <w:rPr>
                <w:rFonts w:ascii="Calibri" w:eastAsia="Times New Roman" w:hAnsi="Calibri" w:cs="Calibri"/>
                <w:kern w:val="0"/>
                <w:lang w:val="en-AU" w:eastAsia="en-GB"/>
                <w14:ligatures w14:val="none"/>
              </w:rPr>
              <w:t xml:space="preserve">and </w:t>
            </w:r>
          </w:p>
          <w:p w14:paraId="2939AD01" w14:textId="57FFFC0D" w:rsidR="00445484" w:rsidRPr="009B07EA" w:rsidRDefault="00445484" w:rsidP="009B07EA">
            <w:pPr>
              <w:pStyle w:val="ListParagraph"/>
              <w:numPr>
                <w:ilvl w:val="0"/>
                <w:numId w:val="51"/>
              </w:numPr>
              <w:textAlignment w:val="baseline"/>
              <w:rPr>
                <w:rFonts w:ascii="Calibri" w:eastAsia="Times New Roman" w:hAnsi="Calibri" w:cs="Calibri"/>
                <w:kern w:val="0"/>
                <w:lang w:eastAsia="en-GB"/>
                <w14:ligatures w14:val="none"/>
              </w:rPr>
            </w:pPr>
            <w:r w:rsidRPr="009B07EA">
              <w:rPr>
                <w:rFonts w:ascii="Calibri" w:eastAsia="Times New Roman" w:hAnsi="Calibri" w:cs="Calibri"/>
                <w:kern w:val="0"/>
                <w:lang w:val="en-AU" w:eastAsia="en-GB"/>
                <w14:ligatures w14:val="none"/>
              </w:rPr>
              <w:t>the requirement (the </w:t>
            </w:r>
            <w:r w:rsidRPr="009B07EA">
              <w:rPr>
                <w:rFonts w:ascii="Calibri" w:eastAsia="Times New Roman" w:hAnsi="Calibri" w:cs="Calibri"/>
                <w:b/>
                <w:bCs/>
                <w:i/>
                <w:iCs/>
                <w:kern w:val="0"/>
                <w:lang w:val="en-AU" w:eastAsia="en-GB"/>
                <w14:ligatures w14:val="none"/>
              </w:rPr>
              <w:t>government program requirement</w:t>
            </w:r>
            <w:r w:rsidRPr="009B07EA">
              <w:rPr>
                <w:rFonts w:ascii="Calibri" w:eastAsia="Times New Roman" w:hAnsi="Calibri" w:cs="Calibri"/>
                <w:kern w:val="0"/>
                <w:lang w:val="en-AU" w:eastAsia="en-GB"/>
                <w14:ligatures w14:val="none"/>
              </w:rPr>
              <w:t>) that the project would be unlikely to be carried out under another Commonwealth, State or Territory government program or scheme in the absence of a declaration of the project as an eligible offsets project</w:t>
            </w:r>
            <w:r w:rsidR="009B07EA">
              <w:rPr>
                <w:rFonts w:ascii="Calibri" w:eastAsia="Times New Roman" w:hAnsi="Calibri" w:cs="Calibri"/>
                <w:kern w:val="0"/>
                <w:lang w:val="en-AU" w:eastAsia="en-GB"/>
                <w14:ligatures w14:val="none"/>
              </w:rPr>
              <w:t>.</w:t>
            </w:r>
          </w:p>
          <w:p w14:paraId="58CF1926" w14:textId="77777777" w:rsidR="00445484" w:rsidRDefault="00445484" w:rsidP="00097513">
            <w:pPr>
              <w:textAlignment w:val="baseline"/>
              <w:rPr>
                <w:rFonts w:ascii="Calibri" w:eastAsia="Times New Roman" w:hAnsi="Calibri" w:cs="Calibri"/>
                <w:kern w:val="0"/>
                <w:lang w:eastAsia="en-GB"/>
                <w14:ligatures w14:val="none"/>
              </w:rPr>
            </w:pPr>
          </w:p>
          <w:p w14:paraId="29357060" w14:textId="1C04A631" w:rsidR="00097513" w:rsidRPr="00090A5D" w:rsidRDefault="00097513" w:rsidP="00090A5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If the methodology determination that covers a project specifies alternate requirements to apply in lieu of any of the newness requirement, regulatory additional requirement and/or government program requirement, those requirements must be met to satisfy the additionality requirement in section 27(4A).</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12756D3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7EA">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3B4AE47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B07EA">
              <w:rPr>
                <w:rFonts w:ascii="Calibri" w:eastAsia="Times New Roman" w:hAnsi="Calibri" w:cs="Calibri"/>
                <w:kern w:val="0"/>
                <w:lang w:eastAsia="en-GB"/>
                <w14:ligatures w14:val="none"/>
              </w:rPr>
              <w:t xml:space="preserve">Applications for sequestration offsets projects must request that the project be treated as either a </w:t>
            </w:r>
            <w:r w:rsidR="009B07EA" w:rsidRPr="009B07EA">
              <w:rPr>
                <w:rFonts w:ascii="Calibri" w:eastAsia="Times New Roman" w:hAnsi="Calibri" w:cs="Calibri"/>
                <w:kern w:val="0"/>
                <w:lang w:eastAsia="en-GB"/>
                <w14:ligatures w14:val="none"/>
              </w:rPr>
              <w:t>100</w:t>
            </w:r>
            <w:r w:rsidR="009B07EA" w:rsidRPr="009B07EA">
              <w:rPr>
                <w:rFonts w:ascii="Calibri" w:eastAsia="Times New Roman" w:hAnsi="Calibri" w:cs="Calibri"/>
                <w:kern w:val="0"/>
                <w:lang w:eastAsia="en-GB"/>
                <w14:ligatures w14:val="none"/>
              </w:rPr>
              <w:noBreakHyphen/>
              <w:t>year permanence period projec</w:t>
            </w:r>
            <w:r w:rsidR="009B07EA">
              <w:rPr>
                <w:rFonts w:ascii="Calibri" w:eastAsia="Times New Roman" w:hAnsi="Calibri" w:cs="Calibri"/>
                <w:kern w:val="0"/>
                <w:lang w:eastAsia="en-GB"/>
                <w14:ligatures w14:val="none"/>
              </w:rPr>
              <w:t>t or a 25</w:t>
            </w:r>
            <w:r w:rsidR="009B07EA" w:rsidRPr="009B07EA">
              <w:rPr>
                <w:rFonts w:ascii="Calibri" w:eastAsia="Times New Roman" w:hAnsi="Calibri" w:cs="Calibri"/>
                <w:kern w:val="0"/>
                <w:lang w:eastAsia="en-GB"/>
                <w14:ligatures w14:val="none"/>
              </w:rPr>
              <w:noBreakHyphen/>
              <w:t>year permanence period projec</w:t>
            </w:r>
            <w:r w:rsidR="009B07EA">
              <w:rPr>
                <w:rFonts w:ascii="Calibri" w:eastAsia="Times New Roman" w:hAnsi="Calibri" w:cs="Calibri"/>
                <w:kern w:val="0"/>
                <w:lang w:eastAsia="en-GB"/>
                <w14:ligatures w14:val="none"/>
              </w:rPr>
              <w:t>t; section 23(g).</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613154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7E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4318C63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36E0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2879465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36E0B">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4F8C0B9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36E0B">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2A4BED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50C7FB" w14:textId="77777777" w:rsidR="00F36E0B" w:rsidRDefault="009B07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Sequestration projects must </w:t>
            </w:r>
            <w:r w:rsidR="00F36E0B">
              <w:rPr>
                <w:rFonts w:ascii="Calibri" w:eastAsia="Times New Roman" w:hAnsi="Calibri" w:cs="Calibri"/>
                <w:kern w:val="0"/>
                <w:lang w:eastAsia="en-GB"/>
                <w14:ligatures w14:val="none"/>
              </w:rPr>
              <w:t>maintain</w:t>
            </w:r>
            <w:r>
              <w:rPr>
                <w:rFonts w:ascii="Calibri" w:eastAsia="Times New Roman" w:hAnsi="Calibri" w:cs="Calibri"/>
                <w:kern w:val="0"/>
                <w:lang w:eastAsia="en-GB"/>
                <w14:ligatures w14:val="none"/>
              </w:rPr>
              <w:t xml:space="preserve"> a buffer of </w:t>
            </w:r>
            <w:r w:rsidR="00F36E0B">
              <w:rPr>
                <w:rFonts w:ascii="Calibri" w:eastAsia="Times New Roman" w:hAnsi="Calibri" w:cs="Calibri"/>
                <w:kern w:val="0"/>
                <w:lang w:eastAsia="en-GB"/>
                <w14:ligatures w14:val="none"/>
              </w:rPr>
              <w:t>5% (or another number if specified in the regulations) of the net abatement number; section 16(2).</w:t>
            </w:r>
          </w:p>
          <w:p w14:paraId="773FCD5C" w14:textId="3BC30161" w:rsidR="00F36E0B" w:rsidRPr="00CF2E7C" w:rsidRDefault="00F36E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project proponent must notify the Regulator if the removed carbon is disturbed or is likely to be disturbed by </w:t>
            </w:r>
            <w:r w:rsidRPr="00F36E0B">
              <w:rPr>
                <w:rFonts w:ascii="Calibri" w:eastAsia="Times New Roman" w:hAnsi="Calibri" w:cs="Calibri"/>
                <w:kern w:val="0"/>
                <w:lang w:eastAsia="en-GB"/>
                <w14:ligatures w14:val="none"/>
              </w:rPr>
              <w:t>a natural disturbance</w:t>
            </w:r>
            <w:r>
              <w:rPr>
                <w:rFonts w:ascii="Calibri" w:eastAsia="Times New Roman" w:hAnsi="Calibri" w:cs="Calibri"/>
                <w:kern w:val="0"/>
                <w:lang w:eastAsia="en-GB"/>
                <w14:ligatures w14:val="none"/>
              </w:rPr>
              <w:t>; section 81(2).</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4AA64C9E" w:rsidR="00DD694D" w:rsidRPr="00CF2E7C" w:rsidRDefault="00F36E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8D6274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36E0B">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2DDC475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6B0A">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3DE1CE9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C5796D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36E0B">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7437ED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36E0B">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0364EC6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36E0B">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51CCC73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36E0B">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16F07F2B" w:rsidR="00DD694D" w:rsidRPr="00CF2E7C" w:rsidRDefault="00FE6B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declaration of a project as an eligible offsets project under the policy tool may be subject to a condition about obtaining consent from eligible interest holders (section 28A). Where the project is being run on land over which a native title determination has been made, the native title body is considered an eligible interest holder (section 45A). </w:t>
            </w:r>
            <w:r w:rsidR="00F36E0B" w:rsidRPr="00F36E0B">
              <w:rPr>
                <w:rFonts w:ascii="Calibri" w:eastAsia="Times New Roman" w:hAnsi="Calibri" w:cs="Calibri"/>
                <w:kern w:val="0"/>
                <w:lang w:eastAsia="en-GB"/>
                <w14:ligatures w14:val="none"/>
              </w:rPr>
              <w:t>In deciding whether to</w:t>
            </w:r>
            <w:r w:rsidR="00F36E0B">
              <w:rPr>
                <w:rFonts w:ascii="Calibri" w:eastAsia="Times New Roman" w:hAnsi="Calibri" w:cs="Calibri"/>
                <w:kern w:val="0"/>
                <w:lang w:eastAsia="en-GB"/>
                <w14:ligatures w14:val="none"/>
              </w:rPr>
              <w:t xml:space="preserve"> make or</w:t>
            </w:r>
            <w:r w:rsidR="00F36E0B" w:rsidRPr="00F36E0B">
              <w:rPr>
                <w:rFonts w:ascii="Calibri" w:eastAsia="Times New Roman" w:hAnsi="Calibri" w:cs="Calibri"/>
                <w:kern w:val="0"/>
                <w:lang w:eastAsia="en-GB"/>
                <w14:ligatures w14:val="none"/>
              </w:rPr>
              <w:t xml:space="preserve"> vary a methodology determination</w:t>
            </w:r>
            <w:r w:rsidR="00F36E0B">
              <w:rPr>
                <w:rFonts w:ascii="Calibri" w:eastAsia="Times New Roman" w:hAnsi="Calibri" w:cs="Calibri"/>
                <w:kern w:val="0"/>
                <w:lang w:eastAsia="en-GB"/>
                <w14:ligatures w14:val="none"/>
              </w:rPr>
              <w:t>, the Minister must have regard to several factors including the social integrity of the methodology; sections 106(4)(c) and 114(2)(c).</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5E853BE5" w:rsidR="00B87C89" w:rsidRPr="00CF2E7C" w:rsidRDefault="005839C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565E7D83" w:rsidR="002119B6" w:rsidRPr="00CF2E7C" w:rsidRDefault="00A43AB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34C3812B" w:rsidR="00FE7FA5" w:rsidRPr="00CF2E7C" w:rsidRDefault="00C934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29771033" w:rsidR="00FE7FA5" w:rsidRPr="00CF2E7C" w:rsidRDefault="00C934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Division 3 of the policy tool applies to the transfer of Australian carbon credit units.</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47FD801B" w:rsidR="00FE7FA5" w:rsidRPr="00CF2E7C" w:rsidRDefault="00FE07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119F8B8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85E6F">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191F1FD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5E6F">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184AA37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5E6F">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A2017A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5E6F">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4D5AA5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5E6F">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32AD5B2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5E6F">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6548B7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5E6F">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3A9C00D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5E6F">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F9A15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3A46">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66761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3A46">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5C60BBC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3A46">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4B31B1F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3A46">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3413BEE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3A46">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483A572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3A46">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04D301F" w:rsidR="00834370" w:rsidRPr="00CF2E7C" w:rsidRDefault="00926B70"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 xml:space="preserve">The declaration of a project as an eligible offsets project under the policy tool may be subject to a condition about obtaining consent from eligible interest holders (section 28A). Where the project is being run on land over which a native title determination has been made, the native title body is considered an eligible interest holder (section 45A). </w:t>
            </w:r>
            <w:r w:rsidRPr="00F36E0B">
              <w:rPr>
                <w:rFonts w:ascii="Calibri" w:eastAsia="Times New Roman" w:hAnsi="Calibri" w:cs="Calibri"/>
                <w:kern w:val="0"/>
                <w:lang w:eastAsia="en-GB"/>
                <w14:ligatures w14:val="none"/>
              </w:rPr>
              <w:t>In deciding whether to</w:t>
            </w:r>
            <w:r>
              <w:rPr>
                <w:rFonts w:ascii="Calibri" w:eastAsia="Times New Roman" w:hAnsi="Calibri" w:cs="Calibri"/>
                <w:kern w:val="0"/>
                <w:lang w:eastAsia="en-GB"/>
                <w14:ligatures w14:val="none"/>
              </w:rPr>
              <w:t xml:space="preserve"> make or</w:t>
            </w:r>
            <w:r w:rsidRPr="00F36E0B">
              <w:rPr>
                <w:rFonts w:ascii="Calibri" w:eastAsia="Times New Roman" w:hAnsi="Calibri" w:cs="Calibri"/>
                <w:kern w:val="0"/>
                <w:lang w:eastAsia="en-GB"/>
                <w14:ligatures w14:val="none"/>
              </w:rPr>
              <w:t xml:space="preserve"> vary a methodology determination</w:t>
            </w:r>
            <w:r>
              <w:rPr>
                <w:rFonts w:ascii="Calibri" w:eastAsia="Times New Roman" w:hAnsi="Calibri" w:cs="Calibri"/>
                <w:kern w:val="0"/>
                <w:lang w:eastAsia="en-GB"/>
                <w14:ligatures w14:val="none"/>
              </w:rPr>
              <w:t>, the Minister must have regard to several factors including the social integrity of the methodology; sections 106(4)(c) and 114(2)(c).</w:t>
            </w: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6530950E" w:rsidR="00FE7FA5" w:rsidRPr="009C4D10" w:rsidRDefault="0035356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1F4C2288" w:rsidR="00FE7FA5" w:rsidRPr="009C4D10" w:rsidRDefault="00C575D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Section 3(2)(c) states that one of the objects of the policy tool is to remove greenhouse gases from the atmosphere and avoid emissions of greenhouse gases in order to meet Australia's obligations under various international agreements, including the Paris Agreement. In addition, </w:t>
            </w:r>
            <w:r w:rsidRPr="00353560">
              <w:rPr>
                <w:rFonts w:eastAsia="Times New Roman" w:cstheme="minorHAnsi"/>
                <w:kern w:val="0"/>
                <w:lang w:eastAsia="en-GB"/>
                <w14:ligatures w14:val="none"/>
              </w:rPr>
              <w:t>'Australia’s greenhouse gas emissions reduction targets' is defined to mean</w:t>
            </w:r>
            <w:r>
              <w:rPr>
                <w:rFonts w:eastAsia="Times New Roman" w:cstheme="minorHAnsi"/>
                <w:b/>
                <w:bCs/>
                <w:i/>
                <w:iCs/>
                <w:kern w:val="0"/>
                <w:lang w:eastAsia="en-GB"/>
                <w14:ligatures w14:val="none"/>
              </w:rPr>
              <w:t xml:space="preserve"> </w:t>
            </w:r>
            <w:r w:rsidRPr="00353560">
              <w:rPr>
                <w:rFonts w:eastAsia="Times New Roman" w:cstheme="minorHAnsi"/>
                <w:kern w:val="0"/>
                <w:lang w:eastAsia="en-GB"/>
                <w14:ligatures w14:val="none"/>
              </w:rPr>
              <w:t>Australia’s current nationally determined contribution in accordance with Article 4 of the Paris Agreement</w:t>
            </w:r>
            <w:r>
              <w:rPr>
                <w:rFonts w:eastAsia="Times New Roman" w:cstheme="minorHAnsi"/>
                <w:kern w:val="0"/>
                <w:lang w:eastAsia="en-GB"/>
                <w14:ligatures w14:val="none"/>
              </w:rPr>
              <w:t>.</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E844015" w:rsidR="00392F82" w:rsidRPr="009C4D10" w:rsidRDefault="004A634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561555E5" w:rsidR="00392F82" w:rsidRPr="009C4D10" w:rsidRDefault="004A634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0DB76383" w:rsidR="00392F82" w:rsidRPr="009C4D10" w:rsidRDefault="004A6347" w:rsidP="00CF2E7C">
            <w:pPr>
              <w:textAlignment w:val="baseline"/>
              <w:rPr>
                <w:rFonts w:eastAsia="Times New Roman" w:cstheme="minorHAnsi"/>
                <w:kern w:val="0"/>
                <w:lang w:eastAsia="en-GB"/>
                <w14:ligatures w14:val="none"/>
              </w:rPr>
            </w:pPr>
            <w:r>
              <w:rPr>
                <w:rFonts w:ascii="Calibri" w:eastAsia="Times New Roman" w:hAnsi="Calibri" w:cs="Calibri"/>
                <w:kern w:val="0"/>
                <w:lang w:eastAsia="en-GB"/>
                <w14:ligatures w14:val="none"/>
              </w:rPr>
              <w:t>Division 3 of the policy tool applies to the transfer of Australian carbon credit units.</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lastRenderedPageBreak/>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B7EC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lastRenderedPageBreak/>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lastRenderedPageBreak/>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6"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7"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lastRenderedPageBreak/>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2E7474CC" w:rsidR="002F0752" w:rsidRPr="00CF2E7C" w:rsidRDefault="00064B36"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44B173C7" w:rsidR="002F0752" w:rsidRPr="00CF2E7C" w:rsidRDefault="00064B36"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2618BC49" w:rsidR="002F0752" w:rsidRPr="00CF2E7C" w:rsidRDefault="00503181" w:rsidP="00CF2E7C">
            <w:pPr>
              <w:rPr>
                <w:rFonts w:ascii="Calibri" w:hAnsi="Calibri" w:cs="Calibri"/>
              </w:rPr>
            </w:pPr>
            <w:r>
              <w:rPr>
                <w:rFonts w:ascii="Calibri" w:hAnsi="Calibri" w:cs="Calibri"/>
              </w:rPr>
              <w:t>X</w:t>
            </w: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66B35F93" w:rsidR="002F0752" w:rsidRPr="00CF2E7C" w:rsidRDefault="00064B36"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0A6672C8" w:rsidR="002F0752" w:rsidRPr="00CF2E7C" w:rsidRDefault="00064B36" w:rsidP="00CF2E7C">
            <w:pPr>
              <w:rPr>
                <w:rFonts w:ascii="Calibri" w:hAnsi="Calibri" w:cs="Calibri"/>
              </w:rPr>
            </w:pPr>
            <w:r>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0F6C6827" w:rsidR="002F0752" w:rsidRPr="00CF2E7C" w:rsidRDefault="00064B36" w:rsidP="00CF2E7C">
            <w:pPr>
              <w:rPr>
                <w:rFonts w:ascii="Calibri" w:hAnsi="Calibri" w:cs="Calibri"/>
              </w:rPr>
            </w:pPr>
            <w:r>
              <w:rPr>
                <w:rFonts w:ascii="Calibri" w:hAnsi="Calibri" w:cs="Calibri"/>
              </w:rPr>
              <w:t>X</w:t>
            </w: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4CE44CE6" w:rsidR="002F0752" w:rsidRPr="00CF2E7C" w:rsidRDefault="00064B36" w:rsidP="00CF2E7C">
            <w:pPr>
              <w:rPr>
                <w:rFonts w:ascii="Calibri" w:hAnsi="Calibri" w:cs="Calibri"/>
              </w:rPr>
            </w:pPr>
            <w:r>
              <w:rPr>
                <w:rFonts w:ascii="Calibri" w:hAnsi="Calibri" w:cs="Calibri"/>
              </w:rPr>
              <w:t>X</w:t>
            </w: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6D66FE40" w:rsidR="002F0752" w:rsidRPr="00CF2E7C" w:rsidRDefault="00064B36" w:rsidP="00CF2E7C">
            <w:pPr>
              <w:rPr>
                <w:rFonts w:ascii="Calibri" w:hAnsi="Calibri" w:cs="Calibri"/>
              </w:rPr>
            </w:pPr>
            <w:r>
              <w:rPr>
                <w:rFonts w:ascii="Calibri" w:hAnsi="Calibri" w:cs="Calibri"/>
              </w:rPr>
              <w:t>X</w:t>
            </w: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3C2693A6"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23D28BA8"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490D628A"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3B30ABFA" w:rsidR="002F0752" w:rsidRPr="00CF2E7C" w:rsidRDefault="00503181" w:rsidP="00CF2E7C">
            <w:pPr>
              <w:rPr>
                <w:rFonts w:ascii="Calibri" w:hAnsi="Calibri" w:cs="Calibri"/>
              </w:rPr>
            </w:pPr>
            <w:r>
              <w:rPr>
                <w:rFonts w:ascii="Calibri" w:hAnsi="Calibri" w:cs="Calibri"/>
              </w:rPr>
              <w:t>X</w:t>
            </w: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2F302942" w:rsidR="002F0752" w:rsidRPr="00CF2E7C" w:rsidRDefault="00503181" w:rsidP="00CF2E7C">
            <w:pPr>
              <w:rPr>
                <w:rFonts w:ascii="Calibri" w:hAnsi="Calibri" w:cs="Calibri"/>
              </w:rPr>
            </w:pPr>
            <w:r>
              <w:rPr>
                <w:rFonts w:ascii="Calibri" w:hAnsi="Calibri" w:cs="Calibri"/>
              </w:rPr>
              <w:t>Financial institutions, including those listed at 6.2 above, are able to buy, sell and hold ACCUs.  Accordingly, such financial institutions would fall within the remit of the CFI Act.</w:t>
            </w: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2EFB2411" w:rsidR="002F0752" w:rsidRPr="00CF2E7C" w:rsidRDefault="00064B36"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lastRenderedPageBreak/>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39C46DD3" w:rsidR="002F0752" w:rsidRPr="00CF2E7C" w:rsidRDefault="00064B36" w:rsidP="00CF2E7C">
            <w:pPr>
              <w:rPr>
                <w:rFonts w:ascii="Calibri" w:hAnsi="Calibri" w:cs="Calibri"/>
              </w:rPr>
            </w:pPr>
            <w:r>
              <w:rPr>
                <w:rFonts w:ascii="Calibri" w:hAnsi="Calibri" w:cs="Calibri"/>
              </w:rPr>
              <w:t xml:space="preserve">Targeted entities are those who undertake agricultural projects that release methane or burn savannas or grasslands, resulting in the release of methane. </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DB7EC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lastRenderedPageBreak/>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843FCFF" w:rsidR="002F0752" w:rsidRPr="00CF2E7C" w:rsidRDefault="00503181"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1C73AB10" w:rsidR="002F0752" w:rsidRPr="00CF2E7C" w:rsidRDefault="00142538"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25876DFE" w:rsidR="002F0752" w:rsidRPr="00CF2E7C" w:rsidRDefault="00142538"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E3F7F2F" w14:textId="77777777" w:rsidR="002F0752" w:rsidRDefault="00142538" w:rsidP="00CF2E7C">
            <w:pPr>
              <w:rPr>
                <w:rFonts w:ascii="Calibri" w:hAnsi="Calibri" w:cs="Calibri"/>
              </w:rPr>
            </w:pPr>
            <w:r w:rsidRPr="00090A5D">
              <w:rPr>
                <w:rFonts w:ascii="Calibri" w:hAnsi="Calibri" w:cs="Calibri"/>
              </w:rPr>
              <w:t>Section 214 of the CFI Act</w:t>
            </w:r>
            <w:r w:rsidRPr="00142538">
              <w:rPr>
                <w:rFonts w:ascii="Calibri" w:hAnsi="Calibri" w:cs="Calibri"/>
              </w:rPr>
              <w:t>: Non-compliance with audit notices or reporting obligations can result in </w:t>
            </w:r>
            <w:r w:rsidRPr="00090A5D">
              <w:rPr>
                <w:rFonts w:ascii="Calibri" w:hAnsi="Calibri" w:cs="Calibri"/>
              </w:rPr>
              <w:t>civil penalties</w:t>
            </w:r>
            <w:r w:rsidRPr="00142538">
              <w:rPr>
                <w:rFonts w:ascii="Calibri" w:hAnsi="Calibri" w:cs="Calibri"/>
              </w:rPr>
              <w:t> </w:t>
            </w:r>
          </w:p>
          <w:p w14:paraId="447AA35B" w14:textId="6F99529C" w:rsidR="00142538" w:rsidRPr="00090A5D" w:rsidRDefault="00142538" w:rsidP="00CF2E7C">
            <w:pPr>
              <w:rPr>
                <w:rFonts w:ascii="Calibri" w:hAnsi="Calibri" w:cs="Calibri"/>
                <w:lang w:val="en-AU"/>
              </w:rPr>
            </w:pPr>
            <w:r w:rsidRPr="00142538">
              <w:rPr>
                <w:rFonts w:ascii="Calibri" w:hAnsi="Calibri" w:cs="Calibri"/>
                <w:lang w:val="en-AU"/>
              </w:rPr>
              <w:t>The </w:t>
            </w:r>
            <w:r w:rsidRPr="00090A5D">
              <w:rPr>
                <w:rFonts w:ascii="Calibri" w:hAnsi="Calibri" w:cs="Calibri"/>
                <w:lang w:val="en-AU"/>
              </w:rPr>
              <w:t>Clean Energy Regulator (CER)</w:t>
            </w:r>
            <w:r w:rsidRPr="00142538">
              <w:rPr>
                <w:rFonts w:ascii="Calibri" w:hAnsi="Calibri" w:cs="Calibri"/>
                <w:lang w:val="en-AU"/>
              </w:rPr>
              <w:t> may </w:t>
            </w:r>
            <w:r w:rsidRPr="00090A5D">
              <w:rPr>
                <w:rFonts w:ascii="Calibri" w:hAnsi="Calibri" w:cs="Calibri"/>
                <w:lang w:val="en-AU"/>
              </w:rPr>
              <w:t>revoke project registration</w:t>
            </w:r>
            <w:r w:rsidRPr="00142538">
              <w:rPr>
                <w:rFonts w:ascii="Calibri" w:hAnsi="Calibri" w:cs="Calibri"/>
                <w:lang w:val="en-AU"/>
              </w:rPr>
              <w:t>, effectively preventing the entity from participating in the ACCU Scheme. Entities may also be </w:t>
            </w:r>
            <w:r w:rsidRPr="00090A5D">
              <w:rPr>
                <w:rFonts w:ascii="Calibri" w:hAnsi="Calibri" w:cs="Calibri"/>
                <w:lang w:val="en-AU"/>
              </w:rPr>
              <w:t>disqualified from future ACCU issuance</w:t>
            </w:r>
            <w:r>
              <w:rPr>
                <w:rFonts w:ascii="Calibri" w:hAnsi="Calibri" w:cs="Calibri"/>
                <w:lang w:val="en-AU"/>
              </w:rPr>
              <w:t>.</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46A1A241"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46F68166" w:rsidR="002F0752" w:rsidRPr="00CF2E7C" w:rsidRDefault="00064B36"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1ED57E9" w14:textId="6D2126B5" w:rsidR="00064B36" w:rsidRDefault="00064B36" w:rsidP="00064B36">
            <w:pPr>
              <w:rPr>
                <w:rFonts w:ascii="Calibri" w:hAnsi="Calibri" w:cs="Calibri"/>
              </w:rPr>
            </w:pPr>
            <w:r>
              <w:rPr>
                <w:rFonts w:ascii="Calibri" w:hAnsi="Calibri" w:cs="Calibri"/>
              </w:rPr>
              <w:t xml:space="preserve">Australian Carbon Credit Units are available for purchase and trade. The currently available methodologies include </w:t>
            </w:r>
          </w:p>
          <w:p w14:paraId="69527656" w14:textId="77777777" w:rsidR="00064B36" w:rsidRDefault="00064B36" w:rsidP="00064B36">
            <w:pPr>
              <w:rPr>
                <w:rFonts w:ascii="Calibri" w:hAnsi="Calibri" w:cs="Calibri"/>
              </w:rPr>
            </w:pPr>
            <w:hyperlink r:id="rId28" w:anchor="australian-market-licences" w:history="1">
              <w:r w:rsidRPr="002E0831">
                <w:rPr>
                  <w:rStyle w:val="Hyperlink"/>
                  <w:rFonts w:ascii="Calibri" w:hAnsi="Calibri" w:cs="Calibri"/>
                </w:rPr>
                <w:t>Web-archived link 1</w:t>
              </w:r>
            </w:hyperlink>
          </w:p>
          <w:p w14:paraId="28830E53" w14:textId="23F0CFC8" w:rsidR="002F0752" w:rsidRPr="00CF2E7C" w:rsidRDefault="00064B36" w:rsidP="00064B36">
            <w:pPr>
              <w:rPr>
                <w:rFonts w:ascii="Calibri" w:hAnsi="Calibri" w:cs="Calibri"/>
              </w:rPr>
            </w:pPr>
            <w:hyperlink r:id="rId29" w:anchor="agriculture-methods" w:history="1">
              <w:r w:rsidRPr="002E0831">
                <w:rPr>
                  <w:rStyle w:val="Hyperlink"/>
                  <w:rFonts w:ascii="Calibri" w:hAnsi="Calibri" w:cs="Calibri"/>
                </w:rPr>
                <w:t>Web-archived link 2</w:t>
              </w:r>
            </w:hyperlink>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606923FC" w:rsidR="002F0752" w:rsidRPr="00CF2E7C" w:rsidRDefault="00994FDC"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lastRenderedPageBreak/>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85FFB27" w:rsidR="002F0752" w:rsidRPr="00CF2E7C" w:rsidRDefault="00064B36"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532FCA8" w:rsidR="002F0752" w:rsidRPr="00CF2E7C" w:rsidRDefault="00064B36"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lastRenderedPageBreak/>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50138BAD" w:rsidR="002F0752" w:rsidRPr="00CF2E7C" w:rsidRDefault="00064B36"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lastRenderedPageBreak/>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46D57F84"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2ECF1445" w:rsidR="002F0752" w:rsidRPr="00CF2E7C" w:rsidRDefault="00994FDC" w:rsidP="00CF2E7C">
            <w:pPr>
              <w:rPr>
                <w:rFonts w:ascii="Calibri" w:hAnsi="Calibri" w:cs="Calibri"/>
              </w:rPr>
            </w:pPr>
            <w:r>
              <w:rPr>
                <w:rFonts w:ascii="Calibri" w:hAnsi="Calibri" w:cs="Calibri"/>
              </w:rPr>
              <w:t>X</w:t>
            </w: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EF10FA7" w14:textId="7DB0CFDB" w:rsidR="00994FDC" w:rsidRDefault="00994FDC" w:rsidP="00994FDC">
            <w:pPr>
              <w:rPr>
                <w:rFonts w:ascii="Calibri" w:hAnsi="Calibri" w:cs="Calibri"/>
              </w:rPr>
            </w:pPr>
            <w:r>
              <w:rPr>
                <w:rFonts w:ascii="Calibri" w:hAnsi="Calibri" w:cs="Calibri"/>
              </w:rPr>
              <w:t xml:space="preserve">The </w:t>
            </w:r>
            <w:r w:rsidRPr="00A57054">
              <w:rPr>
                <w:rFonts w:ascii="Calibri" w:hAnsi="Calibri" w:cs="Calibri"/>
              </w:rPr>
              <w:t>oil and gas fugitives method will expire 30 September 2025</w:t>
            </w:r>
            <w:r w:rsidR="00233A5A">
              <w:rPr>
                <w:rFonts w:ascii="Calibri" w:hAnsi="Calibri" w:cs="Calibri"/>
              </w:rPr>
              <w:t>.</w:t>
            </w:r>
          </w:p>
          <w:p w14:paraId="57DF507C" w14:textId="541993E9" w:rsidR="002F0752" w:rsidRPr="00CF2E7C" w:rsidRDefault="00994FDC" w:rsidP="00CF2E7C">
            <w:pPr>
              <w:rPr>
                <w:rFonts w:ascii="Calibri" w:hAnsi="Calibri" w:cs="Calibri"/>
              </w:rPr>
            </w:pPr>
            <w:r w:rsidRPr="00A57054">
              <w:rPr>
                <w:rFonts w:ascii="Calibri" w:hAnsi="Calibri" w:cs="Calibri"/>
              </w:rPr>
              <w:t>ACCU Scheme methods are subordinate legislative instruments</w:t>
            </w:r>
            <w:r>
              <w:rPr>
                <w:rFonts w:ascii="Calibri" w:hAnsi="Calibri" w:cs="Calibri"/>
              </w:rPr>
              <w:t>, meaning</w:t>
            </w:r>
            <w:r w:rsidRPr="00A57054">
              <w:rPr>
                <w:rFonts w:ascii="Calibri" w:hAnsi="Calibri" w:cs="Calibri"/>
              </w:rPr>
              <w:t xml:space="preserve"> they automatically </w:t>
            </w:r>
            <w:r>
              <w:rPr>
                <w:rFonts w:ascii="Calibri" w:hAnsi="Calibri" w:cs="Calibri"/>
              </w:rPr>
              <w:t>'sunset'</w:t>
            </w:r>
            <w:r w:rsidRPr="00A57054">
              <w:rPr>
                <w:rFonts w:ascii="Calibri" w:hAnsi="Calibri" w:cs="Calibri"/>
              </w:rPr>
              <w:t xml:space="preserve"> 10 years after they are made. </w:t>
            </w:r>
            <w:r>
              <w:rPr>
                <w:rFonts w:ascii="Calibri" w:hAnsi="Calibri" w:cs="Calibri"/>
              </w:rPr>
              <w:t>The m</w:t>
            </w:r>
            <w:r w:rsidRPr="00A57054">
              <w:rPr>
                <w:rFonts w:ascii="Calibri" w:hAnsi="Calibri" w:cs="Calibri"/>
              </w:rPr>
              <w:t xml:space="preserve">ethods also expire the day before they </w:t>
            </w:r>
            <w:r>
              <w:rPr>
                <w:rFonts w:ascii="Calibri" w:hAnsi="Calibri" w:cs="Calibri"/>
              </w:rPr>
              <w:t>sunset.</w:t>
            </w: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789C911"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99BC7A" w:rsidR="002F0752" w:rsidRPr="00CF2E7C" w:rsidRDefault="0042794F" w:rsidP="00CF2E7C">
            <w:pPr>
              <w:rPr>
                <w:rFonts w:ascii="Calibri" w:hAnsi="Calibri" w:cs="Calibri"/>
              </w:rPr>
            </w:pPr>
            <w:r>
              <w:rPr>
                <w:rFonts w:ascii="Calibri" w:hAnsi="Calibri" w:cs="Calibri"/>
              </w:rPr>
              <w:t>X</w:t>
            </w: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41917CD5" w:rsidR="002F0752" w:rsidRPr="00CF2E7C" w:rsidRDefault="0042794F"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216014F9" w:rsidR="002F0752" w:rsidRPr="00CF2E7C" w:rsidRDefault="0042794F"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3BBCF4C9" w:rsidR="002F0752" w:rsidRPr="00CF2E7C" w:rsidRDefault="0042794F"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21C2F862" w:rsidR="002F0752" w:rsidRPr="00CF2E7C" w:rsidRDefault="0042794F"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lastRenderedPageBreak/>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B9AE65" w14:textId="0F827FFE" w:rsidR="0042794F" w:rsidRPr="0042794F" w:rsidRDefault="0042794F" w:rsidP="0042794F">
            <w:pPr>
              <w:rPr>
                <w:rFonts w:ascii="Calibri" w:hAnsi="Calibri" w:cs="Calibri"/>
              </w:rPr>
            </w:pPr>
            <w:r w:rsidRPr="0042794F">
              <w:rPr>
                <w:rFonts w:ascii="Calibri" w:hAnsi="Calibri" w:cs="Calibri"/>
              </w:rPr>
              <w:t>Oil and Ga</w:t>
            </w:r>
            <w:r w:rsidR="00994FDC">
              <w:rPr>
                <w:rFonts w:ascii="Calibri" w:hAnsi="Calibri" w:cs="Calibri"/>
              </w:rPr>
              <w:t>s</w:t>
            </w:r>
            <w:r>
              <w:rPr>
                <w:rFonts w:ascii="Calibri" w:hAnsi="Calibri" w:cs="Calibri"/>
              </w:rPr>
              <w:t xml:space="preserve">: </w:t>
            </w:r>
            <w:r w:rsidRPr="0042794F">
              <w:rPr>
                <w:rFonts w:ascii="Calibri" w:hAnsi="Calibri" w:cs="Calibri"/>
              </w:rPr>
              <w:t>Methane leak detection, flaring reduction, reservoir emissions abatement</w:t>
            </w:r>
          </w:p>
          <w:p w14:paraId="4D6446E9" w14:textId="3A65AB4F" w:rsidR="0042794F" w:rsidRPr="0042794F" w:rsidRDefault="0042794F" w:rsidP="0042794F">
            <w:pPr>
              <w:rPr>
                <w:rFonts w:ascii="Calibri" w:hAnsi="Calibri" w:cs="Calibri"/>
              </w:rPr>
            </w:pPr>
            <w:r w:rsidRPr="0042794F">
              <w:rPr>
                <w:rFonts w:ascii="Calibri" w:hAnsi="Calibri" w:cs="Calibri"/>
              </w:rPr>
              <w:t>Coal</w:t>
            </w:r>
            <w:r>
              <w:rPr>
                <w:rFonts w:ascii="Calibri" w:hAnsi="Calibri" w:cs="Calibri"/>
              </w:rPr>
              <w:t xml:space="preserve">: </w:t>
            </w:r>
            <w:r w:rsidRPr="0042794F">
              <w:rPr>
                <w:rFonts w:ascii="Calibri" w:hAnsi="Calibri" w:cs="Calibri"/>
              </w:rPr>
              <w:t>Ventilation air methane (VAM) capture, fugitive emissions control</w:t>
            </w:r>
          </w:p>
          <w:p w14:paraId="1B0139FB" w14:textId="0D4B0987" w:rsidR="0042794F" w:rsidRPr="0042794F" w:rsidRDefault="0042794F" w:rsidP="0042794F">
            <w:pPr>
              <w:rPr>
                <w:rFonts w:ascii="Calibri" w:hAnsi="Calibri" w:cs="Calibri"/>
              </w:rPr>
            </w:pPr>
            <w:r w:rsidRPr="0042794F">
              <w:rPr>
                <w:rFonts w:ascii="Calibri" w:hAnsi="Calibri" w:cs="Calibri"/>
              </w:rPr>
              <w:t>Agriculture</w:t>
            </w:r>
            <w:r>
              <w:rPr>
                <w:rFonts w:ascii="Calibri" w:hAnsi="Calibri" w:cs="Calibri"/>
              </w:rPr>
              <w:t xml:space="preserve">: </w:t>
            </w:r>
            <w:r w:rsidRPr="0042794F">
              <w:rPr>
                <w:rFonts w:ascii="Calibri" w:hAnsi="Calibri" w:cs="Calibri"/>
              </w:rPr>
              <w:t>Enteric fermentation (livestock), manure management, biodigesters</w:t>
            </w:r>
          </w:p>
          <w:p w14:paraId="22B4AEAF" w14:textId="77777777" w:rsidR="002F0752" w:rsidRDefault="0042794F" w:rsidP="0042794F">
            <w:pPr>
              <w:rPr>
                <w:rFonts w:ascii="Calibri" w:hAnsi="Calibri" w:cs="Calibri"/>
              </w:rPr>
            </w:pPr>
            <w:r w:rsidRPr="0042794F">
              <w:rPr>
                <w:rFonts w:ascii="Calibri" w:hAnsi="Calibri" w:cs="Calibri"/>
              </w:rPr>
              <w:t>Waste</w:t>
            </w:r>
            <w:r>
              <w:rPr>
                <w:rFonts w:ascii="Calibri" w:hAnsi="Calibri" w:cs="Calibri"/>
              </w:rPr>
              <w:t xml:space="preserve">: </w:t>
            </w:r>
            <w:r w:rsidRPr="0042794F">
              <w:rPr>
                <w:rFonts w:ascii="Calibri" w:hAnsi="Calibri" w:cs="Calibri"/>
              </w:rPr>
              <w:t>Landfill gas capture and combustion, wastewater methane recovery</w:t>
            </w:r>
          </w:p>
          <w:p w14:paraId="37C183BB" w14:textId="77777777" w:rsidR="0042794F" w:rsidRDefault="0042794F" w:rsidP="0042794F">
            <w:pPr>
              <w:rPr>
                <w:rFonts w:ascii="Calibri" w:hAnsi="Calibri" w:cs="Calibri"/>
              </w:rPr>
            </w:pPr>
          </w:p>
          <w:p w14:paraId="30AD8ACF" w14:textId="379B9CCF" w:rsidR="0042794F" w:rsidRPr="00CF2E7C" w:rsidRDefault="0042794F" w:rsidP="0042794F">
            <w:pPr>
              <w:rPr>
                <w:rFonts w:ascii="Calibri" w:hAnsi="Calibri" w:cs="Calibri"/>
              </w:rPr>
            </w:pPr>
            <w:r w:rsidRPr="0042794F">
              <w:rPr>
                <w:rFonts w:ascii="Calibri" w:hAnsi="Calibri" w:cs="Calibri"/>
              </w:rPr>
              <w:t>Methane is priced indirectly through the market value of ACCUs</w:t>
            </w:r>
            <w:r w:rsidR="00233A5A">
              <w:rPr>
                <w:rFonts w:ascii="Calibri" w:hAnsi="Calibri" w:cs="Calibri"/>
              </w:rPr>
              <w:t>.</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BA1179D" w:rsidR="002F0752" w:rsidRPr="00CF2E7C" w:rsidRDefault="004218EA" w:rsidP="00CF2E7C">
            <w:pPr>
              <w:rPr>
                <w:rFonts w:ascii="Calibri" w:hAnsi="Calibri" w:cs="Calibri"/>
              </w:rPr>
            </w:pPr>
            <w:r>
              <w:rPr>
                <w:rFonts w:ascii="Calibri" w:hAnsi="Calibri" w:cs="Calibri"/>
              </w:rPr>
              <w:t>X</w:t>
            </w: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6E13EC46" w:rsidR="002F0752" w:rsidRPr="00CF2E7C" w:rsidRDefault="004218EA" w:rsidP="00CF2E7C">
            <w:pPr>
              <w:rPr>
                <w:rFonts w:ascii="Calibri" w:hAnsi="Calibri" w:cs="Calibri"/>
              </w:rPr>
            </w:pPr>
            <w:r>
              <w:rPr>
                <w:rFonts w:ascii="Calibri" w:hAnsi="Calibri" w:cs="Calibri"/>
              </w:rPr>
              <w:t>X</w:t>
            </w: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26D98511"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01D293BA" w:rsidR="002F0752" w:rsidRPr="00CF2E7C" w:rsidRDefault="004218EA" w:rsidP="00CF2E7C">
            <w:pPr>
              <w:rPr>
                <w:rFonts w:ascii="Calibri" w:hAnsi="Calibri" w:cs="Calibri"/>
              </w:rPr>
            </w:pPr>
            <w:r>
              <w:rPr>
                <w:rFonts w:ascii="Calibri" w:hAnsi="Calibri" w:cs="Calibri"/>
              </w:rPr>
              <w:t>X</w:t>
            </w: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067A030B" w:rsidR="002F0752" w:rsidRPr="00CF2E7C" w:rsidRDefault="004218EA" w:rsidP="00CF2E7C">
            <w:pPr>
              <w:rPr>
                <w:rFonts w:ascii="Calibri" w:hAnsi="Calibri" w:cs="Calibri"/>
              </w:rPr>
            </w:pPr>
            <w:r>
              <w:rPr>
                <w:rFonts w:ascii="Calibri" w:hAnsi="Calibri" w:cs="Calibri"/>
              </w:rPr>
              <w:t>X</w:t>
            </w: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11D36085" w:rsidR="002F0752" w:rsidRPr="00CF2E7C" w:rsidRDefault="004218EA" w:rsidP="00CF2E7C">
            <w:pPr>
              <w:rPr>
                <w:rFonts w:ascii="Calibri" w:hAnsi="Calibri" w:cs="Calibri"/>
              </w:rPr>
            </w:pPr>
            <w:r>
              <w:rPr>
                <w:rFonts w:ascii="Calibri" w:hAnsi="Calibri" w:cs="Calibri"/>
              </w:rPr>
              <w:t>X</w:t>
            </w: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52A762A" w:rsidR="002F0752" w:rsidRPr="33822AF7" w:rsidRDefault="004218E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lastRenderedPageBreak/>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1AD3F5F4" w:rsidR="002F0752" w:rsidRPr="00CF2E7C" w:rsidRDefault="004279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2954158" w14:textId="5189FB1C" w:rsidR="0042794F" w:rsidRPr="0042794F" w:rsidRDefault="0042794F" w:rsidP="0042794F">
            <w:pPr>
              <w:rPr>
                <w:rFonts w:ascii="Calibri" w:eastAsia="Calibri" w:hAnsi="Calibri" w:cs="Calibri"/>
                <w:color w:val="000000" w:themeColor="text1"/>
                <w:lang w:val="en-AU"/>
              </w:rPr>
            </w:pPr>
            <w:r>
              <w:rPr>
                <w:rFonts w:ascii="Calibri" w:eastAsia="Calibri" w:hAnsi="Calibri" w:cs="Calibri"/>
                <w:color w:val="000000" w:themeColor="text1"/>
                <w:lang w:val="en-AU"/>
              </w:rPr>
              <w:t xml:space="preserve">The </w:t>
            </w:r>
            <w:r w:rsidRPr="00090A5D">
              <w:rPr>
                <w:rFonts w:ascii="Calibri" w:eastAsia="Calibri" w:hAnsi="Calibri" w:cs="Calibri"/>
                <w:color w:val="000000" w:themeColor="text1"/>
                <w:lang w:val="en-AU"/>
              </w:rPr>
              <w:t>Carbon Credits (Carbon Farming Initiative—Oil and Gas Fugitives) Methodology Determination 2015</w:t>
            </w:r>
            <w:r>
              <w:rPr>
                <w:rFonts w:ascii="Calibri" w:eastAsia="Calibri" w:hAnsi="Calibri" w:cs="Calibri"/>
                <w:color w:val="000000" w:themeColor="text1"/>
                <w:lang w:val="en-AU"/>
              </w:rPr>
              <w:t xml:space="preserve"> </w:t>
            </w:r>
            <w:r w:rsidRPr="0042794F">
              <w:rPr>
                <w:rFonts w:ascii="Calibri" w:eastAsia="Calibri" w:hAnsi="Calibri" w:cs="Calibri"/>
                <w:color w:val="000000" w:themeColor="text1"/>
                <w:lang w:val="en-AU"/>
              </w:rPr>
              <w:t>provides the rules for crediting emission reductions from projects that:</w:t>
            </w:r>
          </w:p>
          <w:p w14:paraId="22F8A024" w14:textId="77777777" w:rsidR="0042794F" w:rsidRPr="0042794F" w:rsidRDefault="0042794F" w:rsidP="0042794F">
            <w:pPr>
              <w:numPr>
                <w:ilvl w:val="0"/>
                <w:numId w:val="55"/>
              </w:numPr>
              <w:rPr>
                <w:rFonts w:ascii="Calibri" w:eastAsia="Calibri" w:hAnsi="Calibri" w:cs="Calibri"/>
                <w:color w:val="000000" w:themeColor="text1"/>
                <w:lang w:val="en-AU"/>
              </w:rPr>
            </w:pPr>
            <w:r w:rsidRPr="00090A5D">
              <w:rPr>
                <w:rFonts w:ascii="Calibri" w:eastAsia="Calibri" w:hAnsi="Calibri" w:cs="Calibri"/>
                <w:color w:val="000000" w:themeColor="text1"/>
                <w:lang w:val="en-AU"/>
              </w:rPr>
              <w:t>Capture fugitive methane emissions</w:t>
            </w:r>
            <w:r w:rsidRPr="0042794F">
              <w:rPr>
                <w:rFonts w:ascii="Calibri" w:eastAsia="Calibri" w:hAnsi="Calibri" w:cs="Calibri"/>
                <w:color w:val="000000" w:themeColor="text1"/>
                <w:lang w:val="en-AU"/>
              </w:rPr>
              <w:t> from oil and gas facilities.</w:t>
            </w:r>
          </w:p>
          <w:p w14:paraId="37245062" w14:textId="77777777" w:rsidR="0042794F" w:rsidRPr="0042794F" w:rsidRDefault="0042794F" w:rsidP="0042794F">
            <w:pPr>
              <w:numPr>
                <w:ilvl w:val="0"/>
                <w:numId w:val="55"/>
              </w:numPr>
              <w:rPr>
                <w:rFonts w:ascii="Calibri" w:eastAsia="Calibri" w:hAnsi="Calibri" w:cs="Calibri"/>
                <w:color w:val="000000" w:themeColor="text1"/>
                <w:lang w:val="en-AU"/>
              </w:rPr>
            </w:pPr>
            <w:r w:rsidRPr="00090A5D">
              <w:rPr>
                <w:rFonts w:ascii="Calibri" w:eastAsia="Calibri" w:hAnsi="Calibri" w:cs="Calibri"/>
                <w:color w:val="000000" w:themeColor="text1"/>
                <w:lang w:val="en-AU"/>
              </w:rPr>
              <w:t>Redirect and combust</w:t>
            </w:r>
            <w:r w:rsidRPr="0042794F">
              <w:rPr>
                <w:rFonts w:ascii="Calibri" w:eastAsia="Calibri" w:hAnsi="Calibri" w:cs="Calibri"/>
                <w:color w:val="000000" w:themeColor="text1"/>
                <w:lang w:val="en-AU"/>
              </w:rPr>
              <w:t> these emissions using flare devices.</w:t>
            </w:r>
          </w:p>
          <w:p w14:paraId="6E3F724F" w14:textId="77777777" w:rsidR="002F0752" w:rsidRDefault="0042794F">
            <w:pPr>
              <w:numPr>
                <w:ilvl w:val="0"/>
                <w:numId w:val="55"/>
              </w:numPr>
              <w:rPr>
                <w:rFonts w:ascii="Calibri" w:eastAsia="Calibri" w:hAnsi="Calibri" w:cs="Calibri"/>
                <w:color w:val="000000" w:themeColor="text1"/>
                <w:lang w:val="en-AU"/>
              </w:rPr>
            </w:pPr>
            <w:r w:rsidRPr="0042794F">
              <w:rPr>
                <w:rFonts w:ascii="Calibri" w:eastAsia="Calibri" w:hAnsi="Calibri" w:cs="Calibri"/>
                <w:color w:val="000000" w:themeColor="text1"/>
                <w:lang w:val="en-AU"/>
              </w:rPr>
              <w:t>Convert methane (CH₄) into carbon dioxide (CO₂)</w:t>
            </w:r>
          </w:p>
          <w:p w14:paraId="73A965AA" w14:textId="77777777" w:rsidR="00994FDC" w:rsidRDefault="00994FDC" w:rsidP="00994FDC">
            <w:pPr>
              <w:rPr>
                <w:rFonts w:ascii="Calibri" w:eastAsia="Calibri" w:hAnsi="Calibri" w:cs="Calibri"/>
                <w:color w:val="000000" w:themeColor="text1"/>
              </w:rPr>
            </w:pPr>
            <w:r>
              <w:rPr>
                <w:rFonts w:ascii="Calibri" w:eastAsia="Calibri" w:hAnsi="Calibri" w:cs="Calibri"/>
                <w:color w:val="000000" w:themeColor="text1"/>
              </w:rPr>
              <w:t xml:space="preserve">Clause 13 of the </w:t>
            </w:r>
            <w:r w:rsidRPr="00BE4818">
              <w:rPr>
                <w:rFonts w:ascii="Calibri" w:eastAsia="Calibri" w:hAnsi="Calibri" w:cs="Calibri"/>
                <w:color w:val="000000" w:themeColor="text1"/>
              </w:rPr>
              <w:t>Carbon Credits (Carbon Farming Initiative—Oil and Gas Fugitives) Methodology Determination 2015</w:t>
            </w:r>
            <w:r>
              <w:rPr>
                <w:rFonts w:ascii="Calibri" w:eastAsia="Calibri" w:hAnsi="Calibri" w:cs="Calibri"/>
                <w:color w:val="000000" w:themeColor="text1"/>
              </w:rPr>
              <w:t xml:space="preserve"> states:</w:t>
            </w:r>
          </w:p>
          <w:p w14:paraId="40161F5A" w14:textId="44AE16A8" w:rsidR="00994FDC" w:rsidRPr="00090A5D" w:rsidRDefault="00994FDC" w:rsidP="00994FDC">
            <w:pPr>
              <w:rPr>
                <w:rFonts w:ascii="Calibri" w:eastAsia="Calibri" w:hAnsi="Calibri" w:cs="Calibri"/>
                <w:color w:val="000000" w:themeColor="text1"/>
                <w:lang w:val="en-AU"/>
              </w:rPr>
            </w:pPr>
            <w:r w:rsidRPr="00BE4818">
              <w:rPr>
                <w:rFonts w:ascii="Calibri" w:eastAsia="Calibri" w:hAnsi="Calibri" w:cs="Calibri"/>
                <w:i/>
                <w:iCs/>
                <w:color w:val="000000" w:themeColor="text1"/>
              </w:rPr>
              <w:t>"The carbon dioxide equivalent net abatement amount for a reporting period is worked out by comparing the emissions resulting from flaring the re</w:t>
            </w:r>
            <w:r w:rsidRPr="00BE4818">
              <w:rPr>
                <w:rFonts w:ascii="Calibri" w:eastAsia="Calibri" w:hAnsi="Calibri" w:cs="Calibri"/>
                <w:i/>
                <w:iCs/>
                <w:color w:val="000000" w:themeColor="text1"/>
              </w:rPr>
              <w:noBreakHyphen/>
              <w:t>routed gas with the emissions that would have resulted from the gas being released to the atmosphere if the project had not been carried out."</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075C44D4" w:rsidR="002F0752" w:rsidRPr="00CF2E7C" w:rsidRDefault="00670C2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6F986AFF" w:rsidR="002F0752" w:rsidRPr="00CF2E7C" w:rsidRDefault="00670C2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1FAA1C6F" w:rsidR="002F0752" w:rsidRPr="00CF2E7C" w:rsidRDefault="00670C2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587EEE00" w:rsidR="002F0752" w:rsidRPr="00CF2E7C" w:rsidRDefault="00670C2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3091CB87" w:rsidR="002F0752" w:rsidRPr="00CF2E7C" w:rsidRDefault="00994F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1D3E2E4E"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2370B4A4" w:rsidR="002F0752" w:rsidRPr="00CF2E7C" w:rsidRDefault="00994F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404A85C3" w:rsidR="002F0752" w:rsidRPr="00CF2E7C" w:rsidRDefault="00994F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598C300F" w:rsidR="002F0752" w:rsidRPr="00CF2E7C" w:rsidRDefault="00670C2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0EAF9DE3"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E8F9156" w:rsidR="002F0752" w:rsidRPr="00CF2E7C" w:rsidRDefault="00994F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1978E312" w:rsidR="002F0752" w:rsidRPr="00CF2E7C" w:rsidRDefault="00994FDC" w:rsidP="00CF2E7C">
            <w:pPr>
              <w:rPr>
                <w:rFonts w:ascii="Calibri" w:eastAsia="Calibri" w:hAnsi="Calibri" w:cs="Calibri"/>
                <w:color w:val="000000" w:themeColor="text1"/>
              </w:rPr>
            </w:pPr>
            <w:r>
              <w:rPr>
                <w:rFonts w:ascii="Calibri" w:eastAsia="Calibri" w:hAnsi="Calibri" w:cs="Calibri"/>
                <w:color w:val="000000" w:themeColor="text1"/>
              </w:rPr>
              <w:t xml:space="preserve">See clause 33 of the </w:t>
            </w:r>
            <w:r w:rsidRPr="00BE4818">
              <w:rPr>
                <w:rFonts w:ascii="Calibri" w:eastAsia="Calibri" w:hAnsi="Calibri" w:cs="Calibri"/>
                <w:color w:val="000000" w:themeColor="text1"/>
              </w:rPr>
              <w:t>Carbon Credits (Carbon Farming Initiative—Oil and Gas Fugitives) Methodology Determination 2015</w:t>
            </w:r>
            <w:r>
              <w:rPr>
                <w:rFonts w:ascii="Calibri" w:eastAsia="Calibri" w:hAnsi="Calibri" w:cs="Calibri"/>
                <w:color w:val="000000" w:themeColor="text1"/>
              </w:rPr>
              <w:t>.</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3EE744BF" w:rsidR="002F0752" w:rsidRPr="00CF2E7C" w:rsidRDefault="00701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13C97EC9" w:rsidR="002F0752" w:rsidRPr="00CF2E7C" w:rsidRDefault="00701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60EB715C"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1D6EC580" w:rsidR="002F0752" w:rsidRPr="00CF2E7C" w:rsidRDefault="00701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090A5D" w:rsidRDefault="002F0752" w:rsidP="00CF2E7C">
            <w:pPr>
              <w:rPr>
                <w:rFonts w:ascii="Calibri" w:eastAsia="Calibri" w:hAnsi="Calibri" w:cs="Calibri"/>
                <w:color w:val="000000" w:themeColor="text1"/>
              </w:rPr>
            </w:pPr>
          </w:p>
        </w:tc>
        <w:tc>
          <w:tcPr>
            <w:tcW w:w="9328" w:type="dxa"/>
            <w:gridSpan w:val="6"/>
            <w:vAlign w:val="center"/>
          </w:tcPr>
          <w:p w14:paraId="156279C0" w14:textId="77777777" w:rsidR="00701F75" w:rsidRPr="00701F75" w:rsidRDefault="00701F75" w:rsidP="00090A5D">
            <w:pPr>
              <w:rPr>
                <w:rFonts w:ascii="Calibri" w:eastAsia="Calibri" w:hAnsi="Calibri" w:cs="Calibri"/>
                <w:color w:val="000000" w:themeColor="text1"/>
                <w:lang w:val="en-AU"/>
              </w:rPr>
            </w:pPr>
            <w:r w:rsidRPr="00701F75">
              <w:rPr>
                <w:rFonts w:ascii="Calibri" w:eastAsia="Calibri" w:hAnsi="Calibri" w:cs="Calibri"/>
                <w:color w:val="000000" w:themeColor="text1"/>
                <w:lang w:val="en-AU"/>
              </w:rPr>
              <w:t>The </w:t>
            </w:r>
            <w:r w:rsidRPr="00090A5D">
              <w:rPr>
                <w:rFonts w:ascii="Calibri" w:eastAsia="Calibri" w:hAnsi="Calibri" w:cs="Calibri"/>
                <w:color w:val="000000" w:themeColor="text1"/>
                <w:lang w:val="en-AU"/>
              </w:rPr>
              <w:t>Oil and Gas Fugitives Method</w:t>
            </w:r>
            <w:r w:rsidRPr="00701F75">
              <w:rPr>
                <w:rFonts w:ascii="Calibri" w:eastAsia="Calibri" w:hAnsi="Calibri" w:cs="Calibri"/>
                <w:color w:val="000000" w:themeColor="text1"/>
                <w:lang w:val="en-AU"/>
              </w:rPr>
              <w:t> allows facilities to earn ACCUs by </w:t>
            </w:r>
            <w:r w:rsidRPr="00090A5D">
              <w:rPr>
                <w:rFonts w:ascii="Calibri" w:eastAsia="Calibri" w:hAnsi="Calibri" w:cs="Calibri"/>
                <w:color w:val="000000" w:themeColor="text1"/>
                <w:lang w:val="en-AU"/>
              </w:rPr>
              <w:t>capturing fugitive methane emissions</w:t>
            </w:r>
            <w:r w:rsidRPr="00701F75">
              <w:rPr>
                <w:rFonts w:ascii="Calibri" w:eastAsia="Calibri" w:hAnsi="Calibri" w:cs="Calibri"/>
                <w:color w:val="000000" w:themeColor="text1"/>
                <w:lang w:val="en-AU"/>
              </w:rPr>
              <w:t> (from leaks or venting) and </w:t>
            </w:r>
            <w:r w:rsidRPr="00090A5D">
              <w:rPr>
                <w:rFonts w:ascii="Calibri" w:eastAsia="Calibri" w:hAnsi="Calibri" w:cs="Calibri"/>
                <w:color w:val="000000" w:themeColor="text1"/>
                <w:lang w:val="en-AU"/>
              </w:rPr>
              <w:t>combusting them in flare devices</w:t>
            </w:r>
            <w:r w:rsidRPr="00701F75">
              <w:rPr>
                <w:rFonts w:ascii="Calibri" w:eastAsia="Calibri" w:hAnsi="Calibri" w:cs="Calibri"/>
                <w:color w:val="000000" w:themeColor="text1"/>
                <w:lang w:val="en-AU"/>
              </w:rPr>
              <w:t>.</w:t>
            </w:r>
          </w:p>
          <w:p w14:paraId="0747E558" w14:textId="77777777" w:rsidR="002F0752" w:rsidRPr="00701F75"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106F64BD"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113E3187" w:rsidR="002F0752" w:rsidRPr="00CF2E7C" w:rsidRDefault="00701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36194EB4" w:rsidR="002F0752" w:rsidRPr="00CF2E7C" w:rsidRDefault="00ED3FEC" w:rsidP="00CF2E7C">
            <w:pPr>
              <w:rPr>
                <w:rFonts w:ascii="Calibri" w:eastAsia="Calibri" w:hAnsi="Calibri" w:cs="Calibri"/>
                <w:color w:val="000000" w:themeColor="text1"/>
              </w:rPr>
            </w:pPr>
            <w:r>
              <w:rPr>
                <w:rFonts w:ascii="Calibri" w:eastAsia="Calibri" w:hAnsi="Calibri" w:cs="Calibri"/>
                <w:color w:val="000000" w:themeColor="text1"/>
              </w:rPr>
              <w:t xml:space="preserve">The </w:t>
            </w:r>
            <w:r w:rsidRPr="00ED3FEC">
              <w:rPr>
                <w:rFonts w:ascii="Calibri" w:eastAsia="Calibri" w:hAnsi="Calibri" w:cs="Calibri"/>
                <w:color w:val="000000" w:themeColor="text1"/>
              </w:rPr>
              <w:t>Oil and Gas Fugitives Methodology Determination 2015 under the ACCU Scheme explicitly require the reduction of venting of methane emissions in eligible projects.</w:t>
            </w: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45CFBF" w:rsidR="002F0752" w:rsidRPr="00CF2E7C" w:rsidRDefault="00B4139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B4139D"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B4139D" w:rsidRDefault="002F0752" w:rsidP="00CF2E7C">
            <w:pPr>
              <w:rPr>
                <w:rFonts w:ascii="Calibri" w:eastAsia="Calibri" w:hAnsi="Calibri" w:cs="Calibri"/>
                <w:color w:val="000000" w:themeColor="text1"/>
              </w:rPr>
            </w:pPr>
          </w:p>
        </w:tc>
        <w:tc>
          <w:tcPr>
            <w:tcW w:w="1632" w:type="dxa"/>
            <w:vAlign w:val="center"/>
          </w:tcPr>
          <w:p w14:paraId="1D424DDE" w14:textId="5B834982" w:rsidR="002F0752" w:rsidRPr="00B4139D" w:rsidRDefault="00B4139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090A5D" w:rsidRDefault="002F0752" w:rsidP="00CF2E7C">
            <w:pPr>
              <w:rPr>
                <w:rFonts w:ascii="Calibri" w:eastAsia="Calibri" w:hAnsi="Calibri" w:cs="Calibri"/>
                <w:color w:val="000000" w:themeColor="text1"/>
              </w:rPr>
            </w:pPr>
          </w:p>
        </w:tc>
        <w:tc>
          <w:tcPr>
            <w:tcW w:w="1631" w:type="dxa"/>
            <w:vAlign w:val="center"/>
          </w:tcPr>
          <w:p w14:paraId="34058C30" w14:textId="2749763D" w:rsidR="002F0752" w:rsidRPr="00090A5D" w:rsidRDefault="00B4139D" w:rsidP="00CF2E7C">
            <w:pPr>
              <w:rPr>
                <w:rFonts w:ascii="Calibri" w:eastAsia="Calibri" w:hAnsi="Calibri" w:cs="Calibri"/>
                <w:color w:val="000000" w:themeColor="text1"/>
              </w:rPr>
            </w:pPr>
            <w:r w:rsidRPr="00090A5D">
              <w:rPr>
                <w:rFonts w:ascii="Calibri" w:eastAsia="Calibri" w:hAnsi="Calibri" w:cs="Calibri"/>
                <w:color w:val="000000" w:themeColor="text1"/>
              </w:rPr>
              <w:t>X</w:t>
            </w:r>
          </w:p>
        </w:tc>
        <w:tc>
          <w:tcPr>
            <w:tcW w:w="1632" w:type="dxa"/>
            <w:vAlign w:val="center"/>
          </w:tcPr>
          <w:p w14:paraId="53DFE6AD" w14:textId="77777777" w:rsidR="002F0752" w:rsidRPr="00090A5D"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090A5D" w:rsidRDefault="002F0752" w:rsidP="00CF2E7C">
            <w:pPr>
              <w:rPr>
                <w:rFonts w:ascii="Calibri" w:eastAsia="Calibri" w:hAnsi="Calibri" w:cs="Calibri"/>
                <w:color w:val="000000" w:themeColor="text1"/>
              </w:rPr>
            </w:pPr>
          </w:p>
        </w:tc>
        <w:tc>
          <w:tcPr>
            <w:tcW w:w="1631" w:type="dxa"/>
            <w:vAlign w:val="center"/>
          </w:tcPr>
          <w:p w14:paraId="678D1E7B" w14:textId="174ADA61" w:rsidR="002F0752" w:rsidRPr="00090A5D" w:rsidRDefault="00B4139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2BD74CF2" w14:textId="77777777" w:rsidR="002F0752" w:rsidRPr="00090A5D" w:rsidRDefault="002F0752" w:rsidP="00CF2E7C">
            <w:pPr>
              <w:rPr>
                <w:rFonts w:ascii="Calibri" w:eastAsia="Calibri" w:hAnsi="Calibri" w:cs="Calibri"/>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090A5D" w:rsidRDefault="002F0752" w:rsidP="00CF2E7C">
            <w:pPr>
              <w:rPr>
                <w:rFonts w:ascii="Calibri" w:eastAsia="Calibri" w:hAnsi="Calibri" w:cs="Calibri"/>
                <w:color w:val="000000" w:themeColor="text1"/>
              </w:rPr>
            </w:pPr>
          </w:p>
        </w:tc>
        <w:tc>
          <w:tcPr>
            <w:tcW w:w="1631" w:type="dxa"/>
            <w:vAlign w:val="center"/>
          </w:tcPr>
          <w:p w14:paraId="5F44F4F7" w14:textId="77777777" w:rsidR="002F0752" w:rsidRPr="00090A5D" w:rsidRDefault="002F0752" w:rsidP="00CF2E7C">
            <w:pPr>
              <w:rPr>
                <w:rFonts w:ascii="Calibri" w:eastAsia="Calibri" w:hAnsi="Calibri" w:cs="Calibri"/>
                <w:color w:val="000000" w:themeColor="text1"/>
              </w:rPr>
            </w:pPr>
          </w:p>
        </w:tc>
        <w:tc>
          <w:tcPr>
            <w:tcW w:w="1632" w:type="dxa"/>
            <w:vAlign w:val="center"/>
          </w:tcPr>
          <w:p w14:paraId="7376823E" w14:textId="5221DAF3" w:rsidR="002F0752" w:rsidRPr="00090A5D" w:rsidRDefault="00B4139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090A5D" w:rsidRDefault="002F0752" w:rsidP="00CF2E7C">
            <w:pPr>
              <w:rPr>
                <w:rFonts w:ascii="Calibri" w:eastAsia="Calibri" w:hAnsi="Calibri" w:cs="Calibri"/>
                <w:color w:val="000000" w:themeColor="text1"/>
              </w:rPr>
            </w:pPr>
          </w:p>
        </w:tc>
        <w:tc>
          <w:tcPr>
            <w:tcW w:w="1631" w:type="dxa"/>
            <w:vAlign w:val="center"/>
          </w:tcPr>
          <w:p w14:paraId="7B59CB9A" w14:textId="77777777" w:rsidR="002F0752" w:rsidRPr="00090A5D" w:rsidRDefault="002F0752" w:rsidP="00CF2E7C">
            <w:pPr>
              <w:rPr>
                <w:rFonts w:ascii="Calibri" w:eastAsia="Calibri" w:hAnsi="Calibri" w:cs="Calibri"/>
                <w:color w:val="000000" w:themeColor="text1"/>
              </w:rPr>
            </w:pPr>
          </w:p>
        </w:tc>
        <w:tc>
          <w:tcPr>
            <w:tcW w:w="1632" w:type="dxa"/>
            <w:vAlign w:val="center"/>
          </w:tcPr>
          <w:p w14:paraId="3EE4C822" w14:textId="3B88D795" w:rsidR="002F0752" w:rsidRPr="00090A5D" w:rsidRDefault="00B4139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090A5D" w:rsidRDefault="002F0752" w:rsidP="00CF2E7C">
            <w:pPr>
              <w:rPr>
                <w:rFonts w:ascii="Calibri" w:eastAsia="Calibri" w:hAnsi="Calibri" w:cs="Calibri"/>
                <w:color w:val="000000" w:themeColor="text1"/>
              </w:rPr>
            </w:pPr>
          </w:p>
        </w:tc>
        <w:tc>
          <w:tcPr>
            <w:tcW w:w="1631" w:type="dxa"/>
            <w:vAlign w:val="center"/>
          </w:tcPr>
          <w:p w14:paraId="395EEBF0" w14:textId="77777777" w:rsidR="002F0752" w:rsidRPr="00090A5D" w:rsidRDefault="002F0752" w:rsidP="00CF2E7C">
            <w:pPr>
              <w:rPr>
                <w:rFonts w:ascii="Calibri" w:eastAsia="Calibri" w:hAnsi="Calibri" w:cs="Calibri"/>
                <w:color w:val="000000" w:themeColor="text1"/>
              </w:rPr>
            </w:pPr>
          </w:p>
        </w:tc>
        <w:tc>
          <w:tcPr>
            <w:tcW w:w="1632" w:type="dxa"/>
            <w:vAlign w:val="center"/>
          </w:tcPr>
          <w:p w14:paraId="098E3041" w14:textId="388F5F88" w:rsidR="002F0752" w:rsidRPr="00090A5D" w:rsidRDefault="00B4139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090A5D" w:rsidRDefault="002F0752" w:rsidP="00CF2E7C">
            <w:pPr>
              <w:rPr>
                <w:rFonts w:ascii="Calibri" w:eastAsia="Calibri" w:hAnsi="Calibri" w:cs="Calibri"/>
                <w:color w:val="000000" w:themeColor="text1"/>
              </w:rPr>
            </w:pPr>
          </w:p>
        </w:tc>
        <w:tc>
          <w:tcPr>
            <w:tcW w:w="1631" w:type="dxa"/>
            <w:vAlign w:val="center"/>
          </w:tcPr>
          <w:p w14:paraId="66385834" w14:textId="180D4332" w:rsidR="002F0752" w:rsidRPr="00090A5D" w:rsidRDefault="00B4139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A9CA965" w14:textId="77777777" w:rsidR="002F0752" w:rsidRPr="00090A5D"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090A5D" w:rsidRDefault="002F0752" w:rsidP="00CF2E7C">
            <w:pPr>
              <w:rPr>
                <w:rFonts w:ascii="Calibri" w:eastAsia="Calibri" w:hAnsi="Calibri" w:cs="Calibri"/>
                <w:color w:val="000000" w:themeColor="text1"/>
              </w:rPr>
            </w:pPr>
          </w:p>
        </w:tc>
        <w:tc>
          <w:tcPr>
            <w:tcW w:w="1631" w:type="dxa"/>
            <w:vAlign w:val="center"/>
          </w:tcPr>
          <w:p w14:paraId="510E8D50" w14:textId="1970F3B6" w:rsidR="002F0752" w:rsidRPr="00090A5D" w:rsidRDefault="00B4139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3650209D" w14:textId="77777777" w:rsidR="002F0752" w:rsidRPr="00090A5D"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2864A620" w14:textId="1D2137D1" w:rsidR="0090197F" w:rsidRPr="00090A5D" w:rsidRDefault="00B4139D" w:rsidP="0090197F">
            <w:pPr>
              <w:rPr>
                <w:rFonts w:ascii="Calibri" w:eastAsia="Calibri" w:hAnsi="Calibri" w:cs="Calibri"/>
                <w:color w:val="000000" w:themeColor="text1"/>
                <w:lang w:val="en-AU"/>
              </w:rPr>
            </w:pPr>
            <w:r w:rsidRPr="00090A5D">
              <w:rPr>
                <w:rFonts w:ascii="Calibri" w:eastAsia="Calibri" w:hAnsi="Calibri" w:cs="Calibri"/>
                <w:color w:val="000000" w:themeColor="text1"/>
                <w:lang w:val="en-AU"/>
              </w:rPr>
              <w:t xml:space="preserve">Venting and flaring are included in the measurement </w:t>
            </w:r>
            <w:r w:rsidR="0090197F" w:rsidRPr="00090A5D">
              <w:rPr>
                <w:rFonts w:ascii="Calibri" w:eastAsia="Calibri" w:hAnsi="Calibri" w:cs="Calibri"/>
                <w:color w:val="000000" w:themeColor="text1"/>
                <w:lang w:val="en-AU"/>
              </w:rPr>
              <w:t>of the net abatement amount</w:t>
            </w:r>
            <w:r w:rsidRPr="00090A5D">
              <w:rPr>
                <w:rFonts w:ascii="Calibri" w:eastAsia="Calibri" w:hAnsi="Calibri" w:cs="Calibri"/>
                <w:color w:val="000000" w:themeColor="text1"/>
                <w:lang w:val="en-AU"/>
              </w:rPr>
              <w:t xml:space="preserve"> provided by Oil and Gas Fugitives Methodology</w:t>
            </w:r>
            <w:r w:rsidR="0090197F" w:rsidRPr="00090A5D">
              <w:rPr>
                <w:rFonts w:ascii="Calibri" w:eastAsia="Calibri" w:hAnsi="Calibri" w:cs="Calibri"/>
                <w:color w:val="000000" w:themeColor="text1"/>
                <w:lang w:val="en-AU"/>
              </w:rPr>
              <w:t xml:space="preserve"> at Part 4, including the use of flare devices and gas equipment.</w:t>
            </w:r>
          </w:p>
          <w:p w14:paraId="10D52411" w14:textId="77777777" w:rsidR="0090197F" w:rsidRDefault="0090197F" w:rsidP="00B4139D">
            <w:pPr>
              <w:rPr>
                <w:rFonts w:ascii="Calibri" w:eastAsia="Calibri" w:hAnsi="Calibri" w:cs="Calibri"/>
                <w:color w:val="000000" w:themeColor="text1"/>
                <w:lang w:val="en-AU"/>
              </w:rPr>
            </w:pPr>
          </w:p>
          <w:p w14:paraId="7892CD96" w14:textId="77777777" w:rsidR="0090197F" w:rsidRPr="00090A5D" w:rsidRDefault="0090197F" w:rsidP="00B4139D">
            <w:pPr>
              <w:rPr>
                <w:rFonts w:ascii="Calibri" w:eastAsia="Calibri" w:hAnsi="Calibri" w:cs="Calibri"/>
                <w:color w:val="000000" w:themeColor="text1"/>
                <w:lang w:val="en-AU"/>
              </w:rPr>
            </w:pPr>
          </w:p>
          <w:p w14:paraId="14A6A840" w14:textId="7EE88544"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172780E5"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5FD8208A"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05EA8EE3"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C715D3E" w:rsidR="002F0752" w:rsidRPr="00CF2E7C" w:rsidRDefault="00994F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1649A151" w:rsidR="002F0752" w:rsidRPr="00CF2E7C" w:rsidRDefault="00994F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C629FE0" w:rsidR="002F0752" w:rsidRPr="00CF2E7C" w:rsidRDefault="00994F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67035F18" w:rsidR="002F0752" w:rsidRPr="00CF2E7C" w:rsidRDefault="00994F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3D49CA7E" w:rsidR="002F0752" w:rsidRPr="00CF2E7C" w:rsidRDefault="00994F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35CE229D" w:rsidR="002F0752" w:rsidRPr="00CF2E7C" w:rsidRDefault="00994F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42DF13EE" w:rsidR="002F0752" w:rsidRPr="00CF2E7C" w:rsidRDefault="00994F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391DE274" w:rsidR="002F0752" w:rsidRPr="00CF2E7C" w:rsidRDefault="0042794F"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028823AF" w:rsidR="002F0752" w:rsidRPr="00CF2E7C" w:rsidRDefault="0042794F"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lastRenderedPageBreak/>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40D78FBD" w:rsidR="002F0752" w:rsidRPr="00CF2E7C" w:rsidRDefault="006E5FA9"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904327C" w:rsidR="002F0752" w:rsidRPr="00CF2E7C" w:rsidRDefault="004218EA"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3111C5FE" w:rsidR="002F0752" w:rsidRPr="00CF2E7C" w:rsidRDefault="004218EA"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11E5805C" w:rsidR="002F0752" w:rsidRPr="00CF2E7C" w:rsidRDefault="004218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2C7A1028" w:rsidR="002F0752" w:rsidRPr="00CF2E7C" w:rsidRDefault="004218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61CA93FD" w:rsidR="002F0752" w:rsidRPr="00CF2E7C" w:rsidRDefault="004218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339C395C" w:rsidR="002F0752" w:rsidRPr="00CF2E7C" w:rsidRDefault="004218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0B516035" w:rsidR="002F0752" w:rsidRPr="00CF2E7C" w:rsidRDefault="004218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4BE4864E" w:rsidR="002F0752" w:rsidRPr="00CF2E7C" w:rsidRDefault="004218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190128E4" w:rsidR="002F0752" w:rsidRPr="00CF2E7C" w:rsidRDefault="004218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5C8A8267" w:rsidR="002F0752" w:rsidRPr="00CF2E7C" w:rsidRDefault="004218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48B97F83" w:rsidR="002F0752" w:rsidRPr="00CF2E7C" w:rsidRDefault="004218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0F5D931E" w:rsidR="002F0752" w:rsidRPr="00CF2E7C" w:rsidRDefault="004218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3E1A72A"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52D6B1C0"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16DF522"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261DFC9" w:rsidR="002F0752" w:rsidRPr="00CF2E7C" w:rsidRDefault="004218E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FD2F1F8"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A9989AB"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F431F0B"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D0AAC22"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D7A649A"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B723007"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6A94C58"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27E2909B"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39D24C79" w:rsidR="002F0752" w:rsidRPr="00CF2E7C" w:rsidRDefault="004218EA"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53CC8058"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7648742"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6A5E045"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499831E"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047FDC0"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24DE7F4D"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06C66A91" w:rsidR="002F0752" w:rsidRPr="00CF2E7C" w:rsidRDefault="004218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78BA056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34708">
      <w:headerReference w:type="default" r:id="rId3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53E919" w14:textId="77777777" w:rsidR="00A06B66" w:rsidRDefault="00A06B66" w:rsidP="00874E39">
      <w:r>
        <w:separator/>
      </w:r>
    </w:p>
  </w:endnote>
  <w:endnote w:type="continuationSeparator" w:id="0">
    <w:p w14:paraId="46028E35" w14:textId="77777777" w:rsidR="00A06B66" w:rsidRDefault="00A06B66" w:rsidP="00874E39">
      <w:r>
        <w:continuationSeparator/>
      </w:r>
    </w:p>
  </w:endnote>
  <w:endnote w:type="continuationNotice" w:id="1">
    <w:p w14:paraId="52BA7CDC" w14:textId="77777777" w:rsidR="00A06B66" w:rsidRDefault="00A06B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3A639E6" w:rsidR="00874E39" w:rsidRDefault="00874E39" w:rsidP="00874E39">
    <w:pPr>
      <w:pStyle w:val="Footer"/>
      <w:ind w:right="360"/>
      <w:rPr>
        <w:color w:val="191919"/>
        <w:sz w:val="13"/>
      </w:rPr>
    </w:pPr>
  </w:p>
  <w:p w14:paraId="3407DADC" w14:textId="5943BD79" w:rsidR="00994FDC" w:rsidRDefault="00DC3327" w:rsidP="00874E39">
    <w:pPr>
      <w:pStyle w:val="Footer"/>
      <w:ind w:right="360"/>
    </w:pPr>
    <w:fldSimple w:instr=" DOCPROPERTY DocumentID \* MERGEFORMAT ">
      <w:r w:rsidRPr="00DC3327">
        <w:rPr>
          <w:color w:val="191919"/>
          <w:sz w:val="13"/>
        </w:rPr>
        <w:t>ME_954005910_2</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788D06E4" w14:textId="508B49C6" w:rsidR="00C418CC" w:rsidRDefault="00C418CC" w:rsidP="00874E39">
    <w:pPr>
      <w:pStyle w:val="Footer"/>
      <w:ind w:right="360"/>
      <w:rPr>
        <w:color w:val="191919"/>
        <w:sz w:val="13"/>
      </w:rPr>
    </w:pPr>
  </w:p>
  <w:p w14:paraId="3B8B9D78" w14:textId="36FF84CB" w:rsidR="00994FDC" w:rsidRDefault="00DC3327" w:rsidP="00874E39">
    <w:pPr>
      <w:pStyle w:val="Footer"/>
      <w:ind w:right="360"/>
    </w:pPr>
    <w:fldSimple w:instr=" DOCPROPERTY DocumentID \* MERGEFORMAT ">
      <w:r w:rsidRPr="00DC3327">
        <w:rPr>
          <w:color w:val="191919"/>
          <w:sz w:val="13"/>
        </w:rPr>
        <w:t>ME_954005910_2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p w14:paraId="194D11A6" w14:textId="616AD278" w:rsidR="00C418CC" w:rsidRDefault="00C418CC" w:rsidP="004C3A52">
    <w:pPr>
      <w:pStyle w:val="Footer"/>
      <w:jc w:val="right"/>
      <w:rPr>
        <w:b/>
        <w:bCs/>
        <w:color w:val="18233F"/>
        <w:sz w:val="32"/>
        <w:szCs w:val="32"/>
      </w:rPr>
    </w:pPr>
  </w:p>
  <w:p w14:paraId="2048D3BF" w14:textId="5EE68236" w:rsidR="00994FDC" w:rsidRPr="004C3A52" w:rsidRDefault="00DC3327"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DC3327">
      <w:rPr>
        <w:b/>
        <w:bCs/>
        <w:color w:val="191919"/>
        <w:sz w:val="13"/>
        <w:szCs w:val="32"/>
      </w:rPr>
      <w:t>ME_954005910_2</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BBFA78" w14:textId="77777777" w:rsidR="00A06B66" w:rsidRDefault="00A06B66" w:rsidP="00874E39">
      <w:r>
        <w:separator/>
      </w:r>
    </w:p>
  </w:footnote>
  <w:footnote w:type="continuationSeparator" w:id="0">
    <w:p w14:paraId="2503D465" w14:textId="77777777" w:rsidR="00A06B66" w:rsidRDefault="00A06B66" w:rsidP="00874E39">
      <w:r>
        <w:continuationSeparator/>
      </w:r>
    </w:p>
  </w:footnote>
  <w:footnote w:type="continuationNotice" w:id="1">
    <w:p w14:paraId="2681E966" w14:textId="77777777" w:rsidR="00A06B66" w:rsidRDefault="00A06B6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BC8866" w14:textId="77777777" w:rsidR="00C418CC" w:rsidRDefault="00C418C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44AE81" w14:textId="77777777" w:rsidR="00C418CC" w:rsidRDefault="00C418C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BB11CC7"/>
    <w:multiLevelType w:val="hybridMultilevel"/>
    <w:tmpl w:val="5F4C85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9B24068"/>
    <w:multiLevelType w:val="multilevel"/>
    <w:tmpl w:val="113688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4FB2394"/>
    <w:multiLevelType w:val="multilevel"/>
    <w:tmpl w:val="160403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D50741"/>
    <w:multiLevelType w:val="hybridMultilevel"/>
    <w:tmpl w:val="06D229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714E8E"/>
    <w:multiLevelType w:val="multilevel"/>
    <w:tmpl w:val="C54803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8346D60"/>
    <w:multiLevelType w:val="hybridMultilevel"/>
    <w:tmpl w:val="9AFAE95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8" w15:restartNumberingAfterBreak="0">
    <w:nsid w:val="6C1126A6"/>
    <w:multiLevelType w:val="hybridMultilevel"/>
    <w:tmpl w:val="294A6170"/>
    <w:lvl w:ilvl="0" w:tplc="0C090017">
      <w:start w:val="1"/>
      <w:numFmt w:val="lowerLetter"/>
      <w:lvlText w:val="%1)"/>
      <w:lvlJc w:val="left"/>
      <w:pPr>
        <w:ind w:left="777" w:hanging="360"/>
      </w:pPr>
    </w:lvl>
    <w:lvl w:ilvl="1" w:tplc="0C090019" w:tentative="1">
      <w:start w:val="1"/>
      <w:numFmt w:val="lowerLetter"/>
      <w:lvlText w:val="%2."/>
      <w:lvlJc w:val="left"/>
      <w:pPr>
        <w:ind w:left="1497" w:hanging="360"/>
      </w:pPr>
    </w:lvl>
    <w:lvl w:ilvl="2" w:tplc="0C09001B" w:tentative="1">
      <w:start w:val="1"/>
      <w:numFmt w:val="lowerRoman"/>
      <w:lvlText w:val="%3."/>
      <w:lvlJc w:val="right"/>
      <w:pPr>
        <w:ind w:left="2217" w:hanging="180"/>
      </w:pPr>
    </w:lvl>
    <w:lvl w:ilvl="3" w:tplc="0C09000F" w:tentative="1">
      <w:start w:val="1"/>
      <w:numFmt w:val="decimal"/>
      <w:lvlText w:val="%4."/>
      <w:lvlJc w:val="left"/>
      <w:pPr>
        <w:ind w:left="2937" w:hanging="360"/>
      </w:pPr>
    </w:lvl>
    <w:lvl w:ilvl="4" w:tplc="0C090019" w:tentative="1">
      <w:start w:val="1"/>
      <w:numFmt w:val="lowerLetter"/>
      <w:lvlText w:val="%5."/>
      <w:lvlJc w:val="left"/>
      <w:pPr>
        <w:ind w:left="3657" w:hanging="360"/>
      </w:pPr>
    </w:lvl>
    <w:lvl w:ilvl="5" w:tplc="0C09001B" w:tentative="1">
      <w:start w:val="1"/>
      <w:numFmt w:val="lowerRoman"/>
      <w:lvlText w:val="%6."/>
      <w:lvlJc w:val="right"/>
      <w:pPr>
        <w:ind w:left="4377" w:hanging="180"/>
      </w:pPr>
    </w:lvl>
    <w:lvl w:ilvl="6" w:tplc="0C09000F" w:tentative="1">
      <w:start w:val="1"/>
      <w:numFmt w:val="decimal"/>
      <w:lvlText w:val="%7."/>
      <w:lvlJc w:val="left"/>
      <w:pPr>
        <w:ind w:left="5097" w:hanging="360"/>
      </w:pPr>
    </w:lvl>
    <w:lvl w:ilvl="7" w:tplc="0C090019" w:tentative="1">
      <w:start w:val="1"/>
      <w:numFmt w:val="lowerLetter"/>
      <w:lvlText w:val="%8."/>
      <w:lvlJc w:val="left"/>
      <w:pPr>
        <w:ind w:left="5817" w:hanging="360"/>
      </w:pPr>
    </w:lvl>
    <w:lvl w:ilvl="8" w:tplc="0C09001B" w:tentative="1">
      <w:start w:val="1"/>
      <w:numFmt w:val="lowerRoman"/>
      <w:lvlText w:val="%9."/>
      <w:lvlJc w:val="right"/>
      <w:pPr>
        <w:ind w:left="6537" w:hanging="180"/>
      </w:p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65A1E6F"/>
    <w:multiLevelType w:val="multilevel"/>
    <w:tmpl w:val="78689F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6" w15:restartNumberingAfterBreak="0">
    <w:nsid w:val="7FF40168"/>
    <w:multiLevelType w:val="multilevel"/>
    <w:tmpl w:val="4E8826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80666882">
    <w:abstractNumId w:val="18"/>
  </w:num>
  <w:num w:numId="2" w16cid:durableId="482308869">
    <w:abstractNumId w:val="25"/>
  </w:num>
  <w:num w:numId="3" w16cid:durableId="690952733">
    <w:abstractNumId w:val="46"/>
  </w:num>
  <w:num w:numId="4" w16cid:durableId="1689330127">
    <w:abstractNumId w:val="1"/>
  </w:num>
  <w:num w:numId="5" w16cid:durableId="401291788">
    <w:abstractNumId w:val="31"/>
  </w:num>
  <w:num w:numId="6" w16cid:durableId="1276788690">
    <w:abstractNumId w:val="14"/>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5"/>
  </w:num>
  <w:num w:numId="12" w16cid:durableId="1344891410">
    <w:abstractNumId w:val="9"/>
  </w:num>
  <w:num w:numId="13" w16cid:durableId="2023899324">
    <w:abstractNumId w:val="12"/>
  </w:num>
  <w:num w:numId="14" w16cid:durableId="430587014">
    <w:abstractNumId w:val="7"/>
  </w:num>
  <w:num w:numId="15" w16cid:durableId="1742869061">
    <w:abstractNumId w:val="33"/>
  </w:num>
  <w:num w:numId="16" w16cid:durableId="1996450437">
    <w:abstractNumId w:val="21"/>
  </w:num>
  <w:num w:numId="17" w16cid:durableId="1529031027">
    <w:abstractNumId w:val="8"/>
  </w:num>
  <w:num w:numId="18" w16cid:durableId="568614617">
    <w:abstractNumId w:val="19"/>
  </w:num>
  <w:num w:numId="19" w16cid:durableId="1530605858">
    <w:abstractNumId w:val="49"/>
  </w:num>
  <w:num w:numId="20" w16cid:durableId="1328172586">
    <w:abstractNumId w:val="17"/>
  </w:num>
  <w:num w:numId="21" w16cid:durableId="184827816">
    <w:abstractNumId w:val="30"/>
  </w:num>
  <w:num w:numId="22" w16cid:durableId="1785346599">
    <w:abstractNumId w:val="36"/>
  </w:num>
  <w:num w:numId="23" w16cid:durableId="1294288901">
    <w:abstractNumId w:val="29"/>
  </w:num>
  <w:num w:numId="24" w16cid:durableId="1603957975">
    <w:abstractNumId w:val="51"/>
  </w:num>
  <w:num w:numId="25" w16cid:durableId="1659531047">
    <w:abstractNumId w:val="50"/>
  </w:num>
  <w:num w:numId="26" w16cid:durableId="752774403">
    <w:abstractNumId w:val="24"/>
  </w:num>
  <w:num w:numId="27" w16cid:durableId="347872198">
    <w:abstractNumId w:val="6"/>
  </w:num>
  <w:num w:numId="28" w16cid:durableId="537133110">
    <w:abstractNumId w:val="13"/>
  </w:num>
  <w:num w:numId="29" w16cid:durableId="1632318729">
    <w:abstractNumId w:val="52"/>
  </w:num>
  <w:num w:numId="30" w16cid:durableId="1268124074">
    <w:abstractNumId w:val="35"/>
  </w:num>
  <w:num w:numId="31" w16cid:durableId="887108748">
    <w:abstractNumId w:val="32"/>
  </w:num>
  <w:num w:numId="32" w16cid:durableId="1826125712">
    <w:abstractNumId w:val="38"/>
  </w:num>
  <w:num w:numId="33" w16cid:durableId="823357978">
    <w:abstractNumId w:val="43"/>
  </w:num>
  <w:num w:numId="34" w16cid:durableId="1092120443">
    <w:abstractNumId w:val="41"/>
  </w:num>
  <w:num w:numId="35" w16cid:durableId="124861188">
    <w:abstractNumId w:val="11"/>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5"/>
  </w:num>
  <w:num w:numId="46" w16cid:durableId="947811845">
    <w:abstractNumId w:val="54"/>
  </w:num>
  <w:num w:numId="47" w16cid:durableId="342588554">
    <w:abstractNumId w:val="28"/>
  </w:num>
  <w:num w:numId="48" w16cid:durableId="318391343">
    <w:abstractNumId w:val="39"/>
  </w:num>
  <w:num w:numId="49" w16cid:durableId="1926527870">
    <w:abstractNumId w:val="42"/>
  </w:num>
  <w:num w:numId="50" w16cid:durableId="126631622">
    <w:abstractNumId w:val="47"/>
  </w:num>
  <w:num w:numId="51" w16cid:durableId="79252987">
    <w:abstractNumId w:val="48"/>
  </w:num>
  <w:num w:numId="52" w16cid:durableId="1577083080">
    <w:abstractNumId w:val="44"/>
  </w:num>
  <w:num w:numId="53" w16cid:durableId="917784488">
    <w:abstractNumId w:val="53"/>
  </w:num>
  <w:num w:numId="54" w16cid:durableId="1786727204">
    <w:abstractNumId w:val="27"/>
  </w:num>
  <w:num w:numId="55" w16cid:durableId="1070690214">
    <w:abstractNumId w:val="56"/>
  </w:num>
  <w:num w:numId="56" w16cid:durableId="1782916118">
    <w:abstractNumId w:val="15"/>
  </w:num>
  <w:num w:numId="57" w16cid:durableId="1508014425">
    <w:abstractNumId w:val="1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7"/>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B36"/>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A5D"/>
    <w:rsid w:val="00090E3B"/>
    <w:rsid w:val="00091947"/>
    <w:rsid w:val="00091A8C"/>
    <w:rsid w:val="00091B67"/>
    <w:rsid w:val="00092534"/>
    <w:rsid w:val="00092E1C"/>
    <w:rsid w:val="00093A46"/>
    <w:rsid w:val="00093CA9"/>
    <w:rsid w:val="000948C7"/>
    <w:rsid w:val="00096371"/>
    <w:rsid w:val="000966D3"/>
    <w:rsid w:val="0009751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D46"/>
    <w:rsid w:val="000B719B"/>
    <w:rsid w:val="000C1982"/>
    <w:rsid w:val="000C2857"/>
    <w:rsid w:val="000C52F1"/>
    <w:rsid w:val="000D0592"/>
    <w:rsid w:val="000D1226"/>
    <w:rsid w:val="000D213B"/>
    <w:rsid w:val="000D223D"/>
    <w:rsid w:val="000D4ED5"/>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C0F"/>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0E1"/>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538"/>
    <w:rsid w:val="00142B76"/>
    <w:rsid w:val="00145138"/>
    <w:rsid w:val="001457F8"/>
    <w:rsid w:val="00146B77"/>
    <w:rsid w:val="001470A9"/>
    <w:rsid w:val="00150B6F"/>
    <w:rsid w:val="00150BA9"/>
    <w:rsid w:val="00152C19"/>
    <w:rsid w:val="00153DBC"/>
    <w:rsid w:val="0015418D"/>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3A5A"/>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160F"/>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83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560"/>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6AE"/>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9EE"/>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8EA"/>
    <w:rsid w:val="004222DF"/>
    <w:rsid w:val="00425FEF"/>
    <w:rsid w:val="00426919"/>
    <w:rsid w:val="00427085"/>
    <w:rsid w:val="0042794F"/>
    <w:rsid w:val="00430927"/>
    <w:rsid w:val="00430E44"/>
    <w:rsid w:val="004321E0"/>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5484"/>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2500"/>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347"/>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09A"/>
    <w:rsid w:val="004E4F56"/>
    <w:rsid w:val="004E51B5"/>
    <w:rsid w:val="004F0C55"/>
    <w:rsid w:val="004F276F"/>
    <w:rsid w:val="004F48E8"/>
    <w:rsid w:val="004F5354"/>
    <w:rsid w:val="00501CCF"/>
    <w:rsid w:val="00502833"/>
    <w:rsid w:val="00502C8A"/>
    <w:rsid w:val="00502F7A"/>
    <w:rsid w:val="00503181"/>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45AE"/>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39CC"/>
    <w:rsid w:val="00584EE1"/>
    <w:rsid w:val="00586A0A"/>
    <w:rsid w:val="005870D5"/>
    <w:rsid w:val="00587FAE"/>
    <w:rsid w:val="005900AD"/>
    <w:rsid w:val="005923CF"/>
    <w:rsid w:val="00592CDE"/>
    <w:rsid w:val="005938A6"/>
    <w:rsid w:val="005946B7"/>
    <w:rsid w:val="00595185"/>
    <w:rsid w:val="005952D1"/>
    <w:rsid w:val="0059609B"/>
    <w:rsid w:val="00596289"/>
    <w:rsid w:val="00596CC5"/>
    <w:rsid w:val="0059772D"/>
    <w:rsid w:val="005A03B5"/>
    <w:rsid w:val="005A2023"/>
    <w:rsid w:val="005A270C"/>
    <w:rsid w:val="005A2821"/>
    <w:rsid w:val="005A2900"/>
    <w:rsid w:val="005A2CEB"/>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0C28"/>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27A"/>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5FA9"/>
    <w:rsid w:val="006E6B58"/>
    <w:rsid w:val="006E7195"/>
    <w:rsid w:val="006E7DC6"/>
    <w:rsid w:val="006F0E83"/>
    <w:rsid w:val="006F13BA"/>
    <w:rsid w:val="006F2FC8"/>
    <w:rsid w:val="006F344F"/>
    <w:rsid w:val="006F3CBF"/>
    <w:rsid w:val="006F531C"/>
    <w:rsid w:val="006F53B6"/>
    <w:rsid w:val="006F7123"/>
    <w:rsid w:val="0070013E"/>
    <w:rsid w:val="007015ED"/>
    <w:rsid w:val="00701F75"/>
    <w:rsid w:val="00702413"/>
    <w:rsid w:val="00702929"/>
    <w:rsid w:val="00702D70"/>
    <w:rsid w:val="00702E5A"/>
    <w:rsid w:val="00703034"/>
    <w:rsid w:val="007032D7"/>
    <w:rsid w:val="007055F4"/>
    <w:rsid w:val="00705948"/>
    <w:rsid w:val="00705ADE"/>
    <w:rsid w:val="007066F4"/>
    <w:rsid w:val="00707D5E"/>
    <w:rsid w:val="00707F76"/>
    <w:rsid w:val="00711F61"/>
    <w:rsid w:val="00712582"/>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06B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2B4"/>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1C51"/>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962"/>
    <w:rsid w:val="008D5150"/>
    <w:rsid w:val="008D54CE"/>
    <w:rsid w:val="008D78E4"/>
    <w:rsid w:val="008E1EEF"/>
    <w:rsid w:val="008E3BCF"/>
    <w:rsid w:val="008E4B2E"/>
    <w:rsid w:val="008E540F"/>
    <w:rsid w:val="008E55CB"/>
    <w:rsid w:val="008E59EB"/>
    <w:rsid w:val="008E6AE1"/>
    <w:rsid w:val="008E760C"/>
    <w:rsid w:val="008F0446"/>
    <w:rsid w:val="008F27A6"/>
    <w:rsid w:val="008F31B3"/>
    <w:rsid w:val="008F32F0"/>
    <w:rsid w:val="008F520A"/>
    <w:rsid w:val="008F6A58"/>
    <w:rsid w:val="008F6F09"/>
    <w:rsid w:val="008F7093"/>
    <w:rsid w:val="00900BE0"/>
    <w:rsid w:val="0090197F"/>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B70"/>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4FDC"/>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7EA"/>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6E29"/>
    <w:rsid w:val="009F7316"/>
    <w:rsid w:val="00A02AF3"/>
    <w:rsid w:val="00A035AB"/>
    <w:rsid w:val="00A04C9D"/>
    <w:rsid w:val="00A04DB8"/>
    <w:rsid w:val="00A050A2"/>
    <w:rsid w:val="00A05CFC"/>
    <w:rsid w:val="00A064CE"/>
    <w:rsid w:val="00A06B66"/>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B7"/>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39D"/>
    <w:rsid w:val="00B43080"/>
    <w:rsid w:val="00B431B1"/>
    <w:rsid w:val="00B43E73"/>
    <w:rsid w:val="00B4464A"/>
    <w:rsid w:val="00B44FFE"/>
    <w:rsid w:val="00B45AE1"/>
    <w:rsid w:val="00B460A9"/>
    <w:rsid w:val="00B4642E"/>
    <w:rsid w:val="00B470AB"/>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020"/>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5D2F"/>
    <w:rsid w:val="00BD1613"/>
    <w:rsid w:val="00BD3AB4"/>
    <w:rsid w:val="00BD5A86"/>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369"/>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8CC"/>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792"/>
    <w:rsid w:val="00C55D72"/>
    <w:rsid w:val="00C56D45"/>
    <w:rsid w:val="00C57511"/>
    <w:rsid w:val="00C575DC"/>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02E"/>
    <w:rsid w:val="00C75536"/>
    <w:rsid w:val="00C758F8"/>
    <w:rsid w:val="00C76B74"/>
    <w:rsid w:val="00C81DE5"/>
    <w:rsid w:val="00C82860"/>
    <w:rsid w:val="00C837C9"/>
    <w:rsid w:val="00C8396C"/>
    <w:rsid w:val="00C84F1D"/>
    <w:rsid w:val="00C85DD9"/>
    <w:rsid w:val="00C85F5A"/>
    <w:rsid w:val="00C8618D"/>
    <w:rsid w:val="00C86ADF"/>
    <w:rsid w:val="00C870C0"/>
    <w:rsid w:val="00C934A6"/>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9B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599"/>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EC0"/>
    <w:rsid w:val="00DC18A5"/>
    <w:rsid w:val="00DC1D8C"/>
    <w:rsid w:val="00DC231D"/>
    <w:rsid w:val="00DC31BF"/>
    <w:rsid w:val="00DC3327"/>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708"/>
    <w:rsid w:val="00E34DED"/>
    <w:rsid w:val="00E368E8"/>
    <w:rsid w:val="00E36D6E"/>
    <w:rsid w:val="00E37C8B"/>
    <w:rsid w:val="00E37ECE"/>
    <w:rsid w:val="00E405B9"/>
    <w:rsid w:val="00E41941"/>
    <w:rsid w:val="00E425D4"/>
    <w:rsid w:val="00E43229"/>
    <w:rsid w:val="00E454C9"/>
    <w:rsid w:val="00E5011C"/>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3FEC"/>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0DE"/>
    <w:rsid w:val="00F156A3"/>
    <w:rsid w:val="00F1597E"/>
    <w:rsid w:val="00F16329"/>
    <w:rsid w:val="00F17407"/>
    <w:rsid w:val="00F179A4"/>
    <w:rsid w:val="00F21A7F"/>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B32"/>
    <w:rsid w:val="00F36C5B"/>
    <w:rsid w:val="00F36E0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5E6F"/>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1DBB"/>
    <w:rsid w:val="00FD3587"/>
    <w:rsid w:val="00FD42FF"/>
    <w:rsid w:val="00FD4B6C"/>
    <w:rsid w:val="00FD5199"/>
    <w:rsid w:val="00FE0720"/>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6B0A"/>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8435217">
      <w:bodyDiv w:val="1"/>
      <w:marLeft w:val="0"/>
      <w:marRight w:val="0"/>
      <w:marTop w:val="0"/>
      <w:marBottom w:val="0"/>
      <w:divBdr>
        <w:top w:val="none" w:sz="0" w:space="0" w:color="auto"/>
        <w:left w:val="none" w:sz="0" w:space="0" w:color="auto"/>
        <w:bottom w:val="none" w:sz="0" w:space="0" w:color="auto"/>
        <w:right w:val="none" w:sz="0" w:space="0" w:color="auto"/>
      </w:divBdr>
    </w:div>
    <w:div w:id="317533951">
      <w:bodyDiv w:val="1"/>
      <w:marLeft w:val="0"/>
      <w:marRight w:val="0"/>
      <w:marTop w:val="0"/>
      <w:marBottom w:val="0"/>
      <w:divBdr>
        <w:top w:val="none" w:sz="0" w:space="0" w:color="auto"/>
        <w:left w:val="none" w:sz="0" w:space="0" w:color="auto"/>
        <w:bottom w:val="none" w:sz="0" w:space="0" w:color="auto"/>
        <w:right w:val="none" w:sz="0" w:space="0" w:color="auto"/>
      </w:divBdr>
    </w:div>
    <w:div w:id="319890640">
      <w:bodyDiv w:val="1"/>
      <w:marLeft w:val="0"/>
      <w:marRight w:val="0"/>
      <w:marTop w:val="0"/>
      <w:marBottom w:val="0"/>
      <w:divBdr>
        <w:top w:val="none" w:sz="0" w:space="0" w:color="auto"/>
        <w:left w:val="none" w:sz="0" w:space="0" w:color="auto"/>
        <w:bottom w:val="none" w:sz="0" w:space="0" w:color="auto"/>
        <w:right w:val="none" w:sz="0" w:space="0" w:color="auto"/>
      </w:divBdr>
    </w:div>
    <w:div w:id="337126255">
      <w:bodyDiv w:val="1"/>
      <w:marLeft w:val="0"/>
      <w:marRight w:val="0"/>
      <w:marTop w:val="0"/>
      <w:marBottom w:val="0"/>
      <w:divBdr>
        <w:top w:val="none" w:sz="0" w:space="0" w:color="auto"/>
        <w:left w:val="none" w:sz="0" w:space="0" w:color="auto"/>
        <w:bottom w:val="none" w:sz="0" w:space="0" w:color="auto"/>
        <w:right w:val="none" w:sz="0" w:space="0" w:color="auto"/>
      </w:divBdr>
    </w:div>
    <w:div w:id="524097941">
      <w:bodyDiv w:val="1"/>
      <w:marLeft w:val="0"/>
      <w:marRight w:val="0"/>
      <w:marTop w:val="0"/>
      <w:marBottom w:val="0"/>
      <w:divBdr>
        <w:top w:val="none" w:sz="0" w:space="0" w:color="auto"/>
        <w:left w:val="none" w:sz="0" w:space="0" w:color="auto"/>
        <w:bottom w:val="none" w:sz="0" w:space="0" w:color="auto"/>
        <w:right w:val="none" w:sz="0" w:space="0" w:color="auto"/>
      </w:divBdr>
    </w:div>
    <w:div w:id="53408321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3394408">
      <w:bodyDiv w:val="1"/>
      <w:marLeft w:val="0"/>
      <w:marRight w:val="0"/>
      <w:marTop w:val="0"/>
      <w:marBottom w:val="0"/>
      <w:divBdr>
        <w:top w:val="none" w:sz="0" w:space="0" w:color="auto"/>
        <w:left w:val="none" w:sz="0" w:space="0" w:color="auto"/>
        <w:bottom w:val="none" w:sz="0" w:space="0" w:color="auto"/>
        <w:right w:val="none" w:sz="0" w:space="0" w:color="auto"/>
      </w:divBdr>
    </w:div>
    <w:div w:id="608053436">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27727714">
      <w:bodyDiv w:val="1"/>
      <w:marLeft w:val="0"/>
      <w:marRight w:val="0"/>
      <w:marTop w:val="0"/>
      <w:marBottom w:val="0"/>
      <w:divBdr>
        <w:top w:val="none" w:sz="0" w:space="0" w:color="auto"/>
        <w:left w:val="none" w:sz="0" w:space="0" w:color="auto"/>
        <w:bottom w:val="none" w:sz="0" w:space="0" w:color="auto"/>
        <w:right w:val="none" w:sz="0" w:space="0" w:color="auto"/>
      </w:divBdr>
    </w:div>
    <w:div w:id="73146337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2632">
      <w:bodyDiv w:val="1"/>
      <w:marLeft w:val="0"/>
      <w:marRight w:val="0"/>
      <w:marTop w:val="0"/>
      <w:marBottom w:val="0"/>
      <w:divBdr>
        <w:top w:val="none" w:sz="0" w:space="0" w:color="auto"/>
        <w:left w:val="none" w:sz="0" w:space="0" w:color="auto"/>
        <w:bottom w:val="none" w:sz="0" w:space="0" w:color="auto"/>
        <w:right w:val="none" w:sz="0" w:space="0" w:color="auto"/>
      </w:divBdr>
    </w:div>
    <w:div w:id="862942147">
      <w:bodyDiv w:val="1"/>
      <w:marLeft w:val="0"/>
      <w:marRight w:val="0"/>
      <w:marTop w:val="0"/>
      <w:marBottom w:val="0"/>
      <w:divBdr>
        <w:top w:val="none" w:sz="0" w:space="0" w:color="auto"/>
        <w:left w:val="none" w:sz="0" w:space="0" w:color="auto"/>
        <w:bottom w:val="none" w:sz="0" w:space="0" w:color="auto"/>
        <w:right w:val="none" w:sz="0" w:space="0" w:color="auto"/>
      </w:divBdr>
    </w:div>
    <w:div w:id="1022903427">
      <w:bodyDiv w:val="1"/>
      <w:marLeft w:val="0"/>
      <w:marRight w:val="0"/>
      <w:marTop w:val="0"/>
      <w:marBottom w:val="0"/>
      <w:divBdr>
        <w:top w:val="none" w:sz="0" w:space="0" w:color="auto"/>
        <w:left w:val="none" w:sz="0" w:space="0" w:color="auto"/>
        <w:bottom w:val="none" w:sz="0" w:space="0" w:color="auto"/>
        <w:right w:val="none" w:sz="0" w:space="0" w:color="auto"/>
      </w:divBdr>
    </w:div>
    <w:div w:id="116805381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6053863">
      <w:bodyDiv w:val="1"/>
      <w:marLeft w:val="0"/>
      <w:marRight w:val="0"/>
      <w:marTop w:val="0"/>
      <w:marBottom w:val="0"/>
      <w:divBdr>
        <w:top w:val="none" w:sz="0" w:space="0" w:color="auto"/>
        <w:left w:val="none" w:sz="0" w:space="0" w:color="auto"/>
        <w:bottom w:val="none" w:sz="0" w:space="0" w:color="auto"/>
        <w:right w:val="none" w:sz="0" w:space="0" w:color="auto"/>
      </w:divBdr>
    </w:div>
    <w:div w:id="1633243403">
      <w:bodyDiv w:val="1"/>
      <w:marLeft w:val="0"/>
      <w:marRight w:val="0"/>
      <w:marTop w:val="0"/>
      <w:marBottom w:val="0"/>
      <w:divBdr>
        <w:top w:val="none" w:sz="0" w:space="0" w:color="auto"/>
        <w:left w:val="none" w:sz="0" w:space="0" w:color="auto"/>
        <w:bottom w:val="none" w:sz="0" w:space="0" w:color="auto"/>
        <w:right w:val="none" w:sz="0" w:space="0" w:color="auto"/>
      </w:divBdr>
      <w:divsChild>
        <w:div w:id="2058579995">
          <w:marLeft w:val="0"/>
          <w:marRight w:val="0"/>
          <w:marTop w:val="0"/>
          <w:marBottom w:val="0"/>
          <w:divBdr>
            <w:top w:val="none" w:sz="0" w:space="0" w:color="auto"/>
            <w:left w:val="none" w:sz="0" w:space="0" w:color="auto"/>
            <w:bottom w:val="none" w:sz="0" w:space="0" w:color="auto"/>
            <w:right w:val="none" w:sz="0" w:space="0" w:color="auto"/>
          </w:divBdr>
        </w:div>
      </w:divsChild>
    </w:div>
    <w:div w:id="1636333604">
      <w:bodyDiv w:val="1"/>
      <w:marLeft w:val="0"/>
      <w:marRight w:val="0"/>
      <w:marTop w:val="0"/>
      <w:marBottom w:val="0"/>
      <w:divBdr>
        <w:top w:val="none" w:sz="0" w:space="0" w:color="auto"/>
        <w:left w:val="none" w:sz="0" w:space="0" w:color="auto"/>
        <w:bottom w:val="none" w:sz="0" w:space="0" w:color="auto"/>
        <w:right w:val="none" w:sz="0" w:space="0" w:color="auto"/>
      </w:divBdr>
    </w:div>
    <w:div w:id="168979633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89879084">
      <w:bodyDiv w:val="1"/>
      <w:marLeft w:val="0"/>
      <w:marRight w:val="0"/>
      <w:marTop w:val="0"/>
      <w:marBottom w:val="0"/>
      <w:divBdr>
        <w:top w:val="none" w:sz="0" w:space="0" w:color="auto"/>
        <w:left w:val="none" w:sz="0" w:space="0" w:color="auto"/>
        <w:bottom w:val="none" w:sz="0" w:space="0" w:color="auto"/>
        <w:right w:val="none" w:sz="0" w:space="0" w:color="auto"/>
      </w:divBdr>
    </w:div>
    <w:div w:id="1919358669">
      <w:bodyDiv w:val="1"/>
      <w:marLeft w:val="0"/>
      <w:marRight w:val="0"/>
      <w:marTop w:val="0"/>
      <w:marBottom w:val="0"/>
      <w:divBdr>
        <w:top w:val="none" w:sz="0" w:space="0" w:color="auto"/>
        <w:left w:val="none" w:sz="0" w:space="0" w:color="auto"/>
        <w:bottom w:val="none" w:sz="0" w:space="0" w:color="auto"/>
        <w:right w:val="none" w:sz="0" w:space="0" w:color="auto"/>
      </w:divBdr>
      <w:divsChild>
        <w:div w:id="366300362">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684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630013734/https:/cer.gov.au/online-systems/new-unit-and-certificate-registry"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630021211/https:/www.legislation.gov.au/C2011A00099/latest/text"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30014242/https:/cer.gov.au/markets/carbon-credits" TargetMode="External"/><Relationship Id="rId29" Type="http://schemas.openxmlformats.org/officeDocument/2006/relationships/hyperlink" Target="https://web.archive.org/web/20250630030733/https:/cer.gov.au/schemes/australian-carbon-credit-unit-scheme/accu-scheme-method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613004234/https:/climatecasechart.com/non-us-case/charles-ife-pty-ltd-v-domestic-offsets-integrity-commission/"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reneweconomy.com.au/beginning-of-the-end-for-carbon-offsets-parents-take-energy-giant-to-court/" TargetMode="External"/><Relationship Id="rId28" Type="http://schemas.openxmlformats.org/officeDocument/2006/relationships/hyperlink" Target="https://web.archive.org/web/20250630014242/https:/cer.gov.au/markets/carbon-credits" TargetMode="External"/><Relationship Id="rId10" Type="http://schemas.openxmlformats.org/officeDocument/2006/relationships/endnotes" Target="endnotes.xml"/><Relationship Id="rId19" Type="http://schemas.openxmlformats.org/officeDocument/2006/relationships/hyperlink" Target="https://web.archive.org/web/20250629233344/https:/www.legislation.gov.au/C2011A00101/latest/text"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theguardian.com/environment/2025/jun/25/courts-corporate-carbon-offsetting-claims-lse-report" TargetMode="External"/><Relationship Id="rId27" Type="http://schemas.openxmlformats.org/officeDocument/2006/relationships/hyperlink" Target="https://www.fsb.org/uploads/P131022-1.pdf" TargetMode="External"/><Relationship Id="rId30"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117</Pages>
  <Words>24653</Words>
  <Characters>132145</Characters>
  <Application>Microsoft Office Word</Application>
  <DocSecurity>0</DocSecurity>
  <Lines>3670</Lines>
  <Paragraphs>1959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18</cp:revision>
  <cp:lastPrinted>2025-03-21T00:14:00Z</cp:lastPrinted>
  <dcterms:created xsi:type="dcterms:W3CDTF">2025-07-16T23:19:00Z</dcterms:created>
  <dcterms:modified xsi:type="dcterms:W3CDTF">2025-07-21T22:56:00Z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ME_954005910_2</vt:lpwstr>
  </property>
  <property fmtid="{D5CDD505-2E9C-101B-9397-08002B2CF9AE}" pid="6" name="Custom1">
    <vt:lpwstr>1543559</vt:lpwstr>
  </property>
</Properties>
</file>